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41054" w:rsidRDefault="009974F8" w:rsidP="003D58F1">
      <w:pPr>
        <w:autoSpaceDE/>
        <w:autoSpaceDN/>
        <w:adjustRightInd/>
        <w:spacing w:after="0"/>
        <w:jc w:val="left"/>
        <w:sectPr w:rsidR="00641054" w:rsidSect="00B81DFC">
          <w:headerReference w:type="default" r:id="rId8"/>
          <w:footerReference w:type="default" r:id="rId9"/>
          <w:headerReference w:type="first" r:id="rId10"/>
          <w:pgSz w:w="11900" w:h="16840" w:code="9"/>
          <w:pgMar w:top="1361" w:right="1361" w:bottom="1361" w:left="1361" w:header="709" w:footer="709" w:gutter="0"/>
          <w:cols w:space="292"/>
          <w:titlePg/>
          <w:docGrid w:linePitch="326"/>
        </w:sectPr>
      </w:pPr>
      <w:r>
        <w:rPr>
          <w:noProof/>
          <w:lang w:eastAsia="en-GB"/>
        </w:rPr>
        <mc:AlternateContent>
          <mc:Choice Requires="wps">
            <w:drawing>
              <wp:anchor distT="0" distB="0" distL="114300" distR="114300" simplePos="0" relativeHeight="251657728" behindDoc="0" locked="0" layoutInCell="1" allowOverlap="1" wp14:anchorId="1608DB94" wp14:editId="6CDC74E2">
                <wp:simplePos x="0" y="0"/>
                <wp:positionH relativeFrom="column">
                  <wp:posOffset>-340360</wp:posOffset>
                </wp:positionH>
                <wp:positionV relativeFrom="paragraph">
                  <wp:posOffset>5869940</wp:posOffset>
                </wp:positionV>
                <wp:extent cx="6640195" cy="2219325"/>
                <wp:effectExtent l="0" t="0" r="0" b="952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0195" cy="2219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7422" w:rsidRDefault="00707422" w:rsidP="0037393E">
                            <w:pPr>
                              <w:spacing w:after="0"/>
                              <w:ind w:right="-46"/>
                              <w:jc w:val="left"/>
                              <w:rPr>
                                <w:rFonts w:cs="Arial"/>
                                <w:b/>
                                <w:bCs/>
                                <w:sz w:val="52"/>
                                <w:szCs w:val="52"/>
                              </w:rPr>
                            </w:pPr>
                          </w:p>
                          <w:p w:rsidR="00707422" w:rsidRPr="0037393E" w:rsidRDefault="00707422" w:rsidP="0037393E">
                            <w:pPr>
                              <w:spacing w:after="0"/>
                              <w:ind w:right="-46"/>
                              <w:jc w:val="left"/>
                              <w:rPr>
                                <w:rFonts w:cs="Arial"/>
                                <w:b/>
                                <w:bCs/>
                                <w:sz w:val="52"/>
                                <w:szCs w:val="52"/>
                              </w:rPr>
                            </w:pPr>
                          </w:p>
                          <w:p w:rsidR="00707422" w:rsidRDefault="00707422" w:rsidP="0037393E">
                            <w:pPr>
                              <w:spacing w:after="0"/>
                              <w:ind w:right="-46"/>
                              <w:jc w:val="left"/>
                              <w:rPr>
                                <w:rFonts w:cs="Arial"/>
                                <w:b/>
                                <w:bCs/>
                                <w:sz w:val="52"/>
                                <w:szCs w:val="52"/>
                              </w:rPr>
                            </w:pPr>
                            <w:r>
                              <w:rPr>
                                <w:rFonts w:cs="Arial"/>
                                <w:b/>
                                <w:bCs/>
                                <w:sz w:val="52"/>
                                <w:szCs w:val="52"/>
                              </w:rPr>
                              <w:t>Money Matters</w:t>
                            </w:r>
                          </w:p>
                          <w:p w:rsidR="00707422" w:rsidRDefault="00707422" w:rsidP="0037393E">
                            <w:pPr>
                              <w:spacing w:after="0"/>
                              <w:ind w:right="-46"/>
                              <w:jc w:val="left"/>
                              <w:rPr>
                                <w:rFonts w:cs="Arial"/>
                                <w:b/>
                                <w:bCs/>
                                <w:sz w:val="52"/>
                                <w:szCs w:val="52"/>
                              </w:rPr>
                            </w:pPr>
                            <w:r>
                              <w:rPr>
                                <w:rFonts w:cs="Arial"/>
                                <w:b/>
                                <w:bCs/>
                                <w:sz w:val="52"/>
                                <w:szCs w:val="52"/>
                              </w:rPr>
                              <w:t>Financial Outlook for the County Council</w:t>
                            </w:r>
                          </w:p>
                          <w:p w:rsidR="00707422" w:rsidRPr="0037393E" w:rsidRDefault="00707422" w:rsidP="0037393E">
                            <w:pPr>
                              <w:spacing w:after="0"/>
                              <w:ind w:right="-46"/>
                              <w:jc w:val="left"/>
                              <w:rPr>
                                <w:rFonts w:cs="Arial"/>
                                <w:b/>
                                <w:bCs/>
                                <w:sz w:val="52"/>
                                <w:szCs w:val="52"/>
                              </w:rPr>
                            </w:pPr>
                            <w:r>
                              <w:rPr>
                                <w:rFonts w:cs="Arial"/>
                                <w:b/>
                                <w:bCs/>
                                <w:sz w:val="52"/>
                                <w:szCs w:val="52"/>
                              </w:rPr>
                              <w:t>Medium Term Financial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08DB94" id="_x0000_t202" coordsize="21600,21600" o:spt="202" path="m,l,21600r21600,l21600,xe">
                <v:stroke joinstyle="miter"/>
                <v:path gradientshapeok="t" o:connecttype="rect"/>
              </v:shapetype>
              <v:shape id="Text Box 4" o:spid="_x0000_s1026" type="#_x0000_t202" style="position:absolute;margin-left:-26.8pt;margin-top:462.2pt;width:522.85pt;height:17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59FtQ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FLjATtoEUPbDToVo6I2OoMvU7B6b4HNzPCMXTZMdX9nSy/aiTkqqFiy26UkkPDaAXZhfamf3Z1&#10;wtEWZDN8kBWEoTsjHdBYq86WDoqBAB269HjqjE2lhMM4JkGYzDAqwRZFYXIZzVwMmh6v90qbd0x2&#10;yC4yrKD1Dp7u77Sx6dD06GKjCVnwtnXtb8WzA3CcTiA4XLU2m4br5o8kSNaL9YJ4JIrXHgny3Lsp&#10;VsSLi3A+yy/z1SoPf9q4IUkbXlVM2DBHZYXkzzp30PikiZO2tGx5ZeFsSlptN6tWoT0FZRfuOxTk&#10;zM1/noYrAnB5QSmMSHAbJV4RL+YeKcjMS+bBwoOC3yZxQBKSF88p3XHB/p0SGjKczKCPjs5vuQXu&#10;e82Nph03MDta3mV4cXKiqdXgWlSutYbydlqflcKm/1QKaPex0U6xVqSTXM24GQHFyngjq0fQrpKg&#10;LBAoDDxYNFJ9x2iA4ZFh/W1HFcOofS9A/0lIiJ02bkNm8wg26tyyObdQUQJUhg1G03Jlpgm16xXf&#10;NhBpenFC3sCbqblT81NWh5cGA8KROgwzO4HO987raeQufwEAAP//AwBQSwMEFAAGAAgAAAAhACcA&#10;Br/gAAAADAEAAA8AAABkcnMvZG93bnJldi54bWxMj8FOwzAQRO9I/IO1SNxau2lacIhTIRBXUAut&#10;xM1NtklEvI5itwl/z3KC42qeZt7mm8l14oJDaD0ZWMwVCKTSVy3VBj7eX2b3IEK0VNnOExr4xgCb&#10;4voqt1nlR9riZRdrwSUUMmugibHPpAxlg86Gue+RODv5wdnI51DLarAjl7tOJkqtpbMt8UJje3xq&#10;sPzanZ2B/evp85Cqt/rZrfrRT0qS09KY25vp8QFExCn+wfCrz+pQsNPRn6kKojMwWy3XjBrQSZqC&#10;YELrZAHiyGhyt9Qgi1z+f6L4AQAA//8DAFBLAQItABQABgAIAAAAIQC2gziS/gAAAOEBAAATAAAA&#10;AAAAAAAAAAAAAAAAAABbQ29udGVudF9UeXBlc10ueG1sUEsBAi0AFAAGAAgAAAAhADj9If/WAAAA&#10;lAEAAAsAAAAAAAAAAAAAAAAALwEAAF9yZWxzLy5yZWxzUEsBAi0AFAAGAAgAAAAhAHcLn0W1AgAA&#10;ugUAAA4AAAAAAAAAAAAAAAAALgIAAGRycy9lMm9Eb2MueG1sUEsBAi0AFAAGAAgAAAAhACcABr/g&#10;AAAADAEAAA8AAAAAAAAAAAAAAAAADwUAAGRycy9kb3ducmV2LnhtbFBLBQYAAAAABAAEAPMAAAAc&#10;BgAAAAA=&#10;" filled="f" stroked="f">
                <v:textbox>
                  <w:txbxContent>
                    <w:p w:rsidR="00707422" w:rsidRDefault="00707422" w:rsidP="0037393E">
                      <w:pPr>
                        <w:spacing w:after="0"/>
                        <w:ind w:right="-46"/>
                        <w:jc w:val="left"/>
                        <w:rPr>
                          <w:rFonts w:cs="Arial"/>
                          <w:b/>
                          <w:bCs/>
                          <w:sz w:val="52"/>
                          <w:szCs w:val="52"/>
                        </w:rPr>
                      </w:pPr>
                    </w:p>
                    <w:p w:rsidR="00707422" w:rsidRPr="0037393E" w:rsidRDefault="00707422" w:rsidP="0037393E">
                      <w:pPr>
                        <w:spacing w:after="0"/>
                        <w:ind w:right="-46"/>
                        <w:jc w:val="left"/>
                        <w:rPr>
                          <w:rFonts w:cs="Arial"/>
                          <w:b/>
                          <w:bCs/>
                          <w:sz w:val="52"/>
                          <w:szCs w:val="52"/>
                        </w:rPr>
                      </w:pPr>
                    </w:p>
                    <w:p w:rsidR="00707422" w:rsidRDefault="00707422" w:rsidP="0037393E">
                      <w:pPr>
                        <w:spacing w:after="0"/>
                        <w:ind w:right="-46"/>
                        <w:jc w:val="left"/>
                        <w:rPr>
                          <w:rFonts w:cs="Arial"/>
                          <w:b/>
                          <w:bCs/>
                          <w:sz w:val="52"/>
                          <w:szCs w:val="52"/>
                        </w:rPr>
                      </w:pPr>
                      <w:r>
                        <w:rPr>
                          <w:rFonts w:cs="Arial"/>
                          <w:b/>
                          <w:bCs/>
                          <w:sz w:val="52"/>
                          <w:szCs w:val="52"/>
                        </w:rPr>
                        <w:t>Money Matters</w:t>
                      </w:r>
                    </w:p>
                    <w:p w:rsidR="00707422" w:rsidRDefault="00707422" w:rsidP="0037393E">
                      <w:pPr>
                        <w:spacing w:after="0"/>
                        <w:ind w:right="-46"/>
                        <w:jc w:val="left"/>
                        <w:rPr>
                          <w:rFonts w:cs="Arial"/>
                          <w:b/>
                          <w:bCs/>
                          <w:sz w:val="52"/>
                          <w:szCs w:val="52"/>
                        </w:rPr>
                      </w:pPr>
                      <w:r>
                        <w:rPr>
                          <w:rFonts w:cs="Arial"/>
                          <w:b/>
                          <w:bCs/>
                          <w:sz w:val="52"/>
                          <w:szCs w:val="52"/>
                        </w:rPr>
                        <w:t>Financial Outlook for the County Council</w:t>
                      </w:r>
                    </w:p>
                    <w:p w:rsidR="00707422" w:rsidRPr="0037393E" w:rsidRDefault="00707422" w:rsidP="0037393E">
                      <w:pPr>
                        <w:spacing w:after="0"/>
                        <w:ind w:right="-46"/>
                        <w:jc w:val="left"/>
                        <w:rPr>
                          <w:rFonts w:cs="Arial"/>
                          <w:b/>
                          <w:bCs/>
                          <w:sz w:val="52"/>
                          <w:szCs w:val="52"/>
                        </w:rPr>
                      </w:pPr>
                      <w:r>
                        <w:rPr>
                          <w:rFonts w:cs="Arial"/>
                          <w:b/>
                          <w:bCs/>
                          <w:sz w:val="52"/>
                          <w:szCs w:val="52"/>
                        </w:rPr>
                        <w:t>Medium Term Financial Strategy</w:t>
                      </w:r>
                    </w:p>
                  </w:txbxContent>
                </v:textbox>
              </v:shape>
            </w:pict>
          </mc:Fallback>
        </mc:AlternateContent>
      </w:r>
    </w:p>
    <w:p w:rsidR="0037393E" w:rsidRDefault="0037393E" w:rsidP="003D58F1">
      <w:pPr>
        <w:spacing w:after="0"/>
        <w:ind w:right="-46"/>
        <w:rPr>
          <w:rFonts w:cs="Arial"/>
          <w:b/>
          <w:bCs/>
          <w:sz w:val="22"/>
        </w:rPr>
      </w:pPr>
    </w:p>
    <w:tbl>
      <w:tblPr>
        <w:tblStyle w:val="TableGrid"/>
        <w:tblW w:w="0" w:type="auto"/>
        <w:tblLook w:val="04A0" w:firstRow="1" w:lastRow="0" w:firstColumn="1" w:lastColumn="0" w:noHBand="0" w:noVBand="1"/>
      </w:tblPr>
      <w:tblGrid>
        <w:gridCol w:w="6705"/>
        <w:gridCol w:w="2311"/>
      </w:tblGrid>
      <w:tr w:rsidR="00E775EA" w:rsidTr="00D94092">
        <w:tc>
          <w:tcPr>
            <w:tcW w:w="6705" w:type="dxa"/>
          </w:tcPr>
          <w:p w:rsidR="00321030" w:rsidRDefault="00321030" w:rsidP="003D58F1">
            <w:pPr>
              <w:spacing w:after="0"/>
              <w:ind w:right="-46"/>
              <w:jc w:val="center"/>
              <w:rPr>
                <w:rFonts w:cs="Arial"/>
                <w:b/>
                <w:bCs/>
                <w:sz w:val="26"/>
                <w:szCs w:val="26"/>
              </w:rPr>
            </w:pPr>
          </w:p>
          <w:p w:rsidR="00E775EA" w:rsidRPr="00E775EA" w:rsidRDefault="00E775EA" w:rsidP="003D58F1">
            <w:pPr>
              <w:spacing w:after="0"/>
              <w:ind w:right="-46"/>
              <w:jc w:val="center"/>
              <w:rPr>
                <w:rFonts w:cs="Arial"/>
                <w:b/>
                <w:bCs/>
                <w:sz w:val="26"/>
                <w:szCs w:val="26"/>
              </w:rPr>
            </w:pPr>
            <w:r w:rsidRPr="00E775EA">
              <w:rPr>
                <w:rFonts w:cs="Arial"/>
                <w:b/>
                <w:bCs/>
                <w:sz w:val="26"/>
                <w:szCs w:val="26"/>
              </w:rPr>
              <w:t>Contents</w:t>
            </w:r>
          </w:p>
          <w:p w:rsidR="00E775EA" w:rsidRPr="00E775EA" w:rsidRDefault="00E775EA" w:rsidP="003D58F1">
            <w:pPr>
              <w:spacing w:after="0"/>
              <w:ind w:right="-46"/>
              <w:jc w:val="center"/>
              <w:rPr>
                <w:rFonts w:cs="Arial"/>
                <w:b/>
                <w:bCs/>
                <w:sz w:val="26"/>
                <w:szCs w:val="26"/>
              </w:rPr>
            </w:pPr>
          </w:p>
        </w:tc>
        <w:tc>
          <w:tcPr>
            <w:tcW w:w="2311" w:type="dxa"/>
          </w:tcPr>
          <w:p w:rsidR="00321030" w:rsidRDefault="00321030" w:rsidP="003D58F1">
            <w:pPr>
              <w:spacing w:after="0"/>
              <w:ind w:right="-46"/>
              <w:jc w:val="center"/>
              <w:rPr>
                <w:rFonts w:cs="Arial"/>
                <w:b/>
                <w:bCs/>
                <w:sz w:val="26"/>
                <w:szCs w:val="26"/>
              </w:rPr>
            </w:pPr>
          </w:p>
          <w:p w:rsidR="00E775EA" w:rsidRPr="00E775EA" w:rsidRDefault="00E775EA" w:rsidP="003D58F1">
            <w:pPr>
              <w:spacing w:after="0"/>
              <w:ind w:right="-46"/>
              <w:jc w:val="center"/>
              <w:rPr>
                <w:rFonts w:cs="Arial"/>
                <w:b/>
                <w:bCs/>
                <w:sz w:val="26"/>
                <w:szCs w:val="26"/>
              </w:rPr>
            </w:pPr>
            <w:r w:rsidRPr="00E775EA">
              <w:rPr>
                <w:rFonts w:cs="Arial"/>
                <w:b/>
                <w:bCs/>
                <w:sz w:val="26"/>
                <w:szCs w:val="26"/>
              </w:rPr>
              <w:t>Page</w:t>
            </w:r>
          </w:p>
        </w:tc>
      </w:tr>
      <w:tr w:rsidR="00DE6416" w:rsidTr="00D94092">
        <w:tc>
          <w:tcPr>
            <w:tcW w:w="6705" w:type="dxa"/>
          </w:tcPr>
          <w:p w:rsidR="00DE6416" w:rsidRPr="0071029A" w:rsidRDefault="00DE6416" w:rsidP="003D58F1">
            <w:pPr>
              <w:tabs>
                <w:tab w:val="left" w:pos="738"/>
                <w:tab w:val="left" w:pos="1777"/>
              </w:tabs>
              <w:spacing w:after="0"/>
              <w:ind w:right="-46"/>
              <w:rPr>
                <w:rFonts w:cs="Arial"/>
                <w:b/>
                <w:bCs/>
              </w:rPr>
            </w:pPr>
          </w:p>
          <w:p w:rsidR="0071029A" w:rsidRPr="0071029A" w:rsidRDefault="0071029A" w:rsidP="003D58F1">
            <w:pPr>
              <w:tabs>
                <w:tab w:val="left" w:pos="738"/>
                <w:tab w:val="left" w:pos="880"/>
                <w:tab w:val="left" w:pos="1777"/>
              </w:tabs>
              <w:spacing w:after="0"/>
              <w:ind w:right="-46"/>
              <w:rPr>
                <w:rFonts w:cs="Arial"/>
                <w:b/>
                <w:bCs/>
              </w:rPr>
            </w:pPr>
            <w:r w:rsidRPr="0071029A">
              <w:rPr>
                <w:rFonts w:cs="Arial"/>
                <w:b/>
                <w:bCs/>
              </w:rPr>
              <w:t>1.</w:t>
            </w:r>
            <w:r w:rsidRPr="0071029A">
              <w:rPr>
                <w:rFonts w:cs="Arial"/>
                <w:b/>
                <w:bCs/>
              </w:rPr>
              <w:tab/>
            </w:r>
            <w:r w:rsidR="00D21FDD">
              <w:rPr>
                <w:rFonts w:cs="Arial"/>
                <w:b/>
                <w:bCs/>
              </w:rPr>
              <w:t>Executive Summary</w:t>
            </w:r>
          </w:p>
          <w:p w:rsidR="0071029A" w:rsidRPr="0071029A" w:rsidRDefault="0071029A" w:rsidP="003D58F1">
            <w:pPr>
              <w:tabs>
                <w:tab w:val="left" w:pos="738"/>
                <w:tab w:val="left" w:pos="880"/>
                <w:tab w:val="left" w:pos="1777"/>
              </w:tabs>
              <w:spacing w:after="0"/>
              <w:ind w:right="-46"/>
              <w:rPr>
                <w:rFonts w:cs="Arial"/>
                <w:b/>
                <w:bCs/>
              </w:rPr>
            </w:pPr>
          </w:p>
        </w:tc>
        <w:tc>
          <w:tcPr>
            <w:tcW w:w="2311" w:type="dxa"/>
          </w:tcPr>
          <w:p w:rsidR="00DE6416" w:rsidRPr="0071029A" w:rsidRDefault="00DE6416" w:rsidP="003D58F1">
            <w:pPr>
              <w:spacing w:after="0"/>
              <w:ind w:right="-46"/>
              <w:jc w:val="center"/>
              <w:rPr>
                <w:rFonts w:cs="Arial"/>
                <w:b/>
                <w:bCs/>
              </w:rPr>
            </w:pPr>
          </w:p>
          <w:p w:rsidR="0071029A" w:rsidRPr="0071029A" w:rsidRDefault="00D21FDD" w:rsidP="003D58F1">
            <w:pPr>
              <w:spacing w:after="0"/>
              <w:ind w:right="-46"/>
              <w:jc w:val="center"/>
              <w:rPr>
                <w:rFonts w:cs="Arial"/>
                <w:b/>
                <w:bCs/>
              </w:rPr>
            </w:pPr>
            <w:r>
              <w:rPr>
                <w:rFonts w:cs="Arial"/>
                <w:b/>
                <w:bCs/>
              </w:rPr>
              <w:t>3</w:t>
            </w:r>
          </w:p>
        </w:tc>
      </w:tr>
      <w:tr w:rsidR="00E775EA" w:rsidTr="00D94092">
        <w:tc>
          <w:tcPr>
            <w:tcW w:w="6705" w:type="dxa"/>
          </w:tcPr>
          <w:p w:rsidR="00E775EA" w:rsidRPr="0071029A" w:rsidRDefault="00E775EA" w:rsidP="003D58F1">
            <w:pPr>
              <w:tabs>
                <w:tab w:val="left" w:pos="738"/>
                <w:tab w:val="left" w:pos="1387"/>
                <w:tab w:val="left" w:pos="1762"/>
              </w:tabs>
              <w:spacing w:after="0"/>
              <w:ind w:right="-46"/>
              <w:rPr>
                <w:rFonts w:cs="Arial"/>
                <w:b/>
                <w:bCs/>
              </w:rPr>
            </w:pPr>
          </w:p>
          <w:p w:rsidR="0071029A" w:rsidRPr="0071029A" w:rsidRDefault="0071029A" w:rsidP="003D58F1">
            <w:pPr>
              <w:tabs>
                <w:tab w:val="left" w:pos="738"/>
                <w:tab w:val="left" w:pos="1387"/>
                <w:tab w:val="left" w:pos="1762"/>
              </w:tabs>
              <w:spacing w:after="0"/>
              <w:ind w:right="-46"/>
              <w:rPr>
                <w:rFonts w:cs="Arial"/>
                <w:b/>
                <w:bCs/>
              </w:rPr>
            </w:pPr>
            <w:r w:rsidRPr="0071029A">
              <w:rPr>
                <w:rFonts w:cs="Arial"/>
                <w:b/>
                <w:bCs/>
              </w:rPr>
              <w:t>2.</w:t>
            </w:r>
            <w:r w:rsidRPr="0071029A">
              <w:rPr>
                <w:rFonts w:cs="Arial"/>
                <w:b/>
                <w:bCs/>
              </w:rPr>
              <w:tab/>
            </w:r>
            <w:r w:rsidR="007F0F0E">
              <w:rPr>
                <w:rFonts w:cs="Arial"/>
                <w:b/>
              </w:rPr>
              <w:t xml:space="preserve">Government </w:t>
            </w:r>
            <w:r w:rsidR="00CD5AFE">
              <w:rPr>
                <w:rFonts w:cs="Arial"/>
                <w:b/>
              </w:rPr>
              <w:t>Spending</w:t>
            </w:r>
          </w:p>
          <w:p w:rsidR="0071029A" w:rsidRPr="0071029A" w:rsidRDefault="0071029A" w:rsidP="003D58F1">
            <w:pPr>
              <w:tabs>
                <w:tab w:val="left" w:pos="738"/>
                <w:tab w:val="left" w:pos="1387"/>
                <w:tab w:val="left" w:pos="1762"/>
              </w:tabs>
              <w:spacing w:after="0"/>
              <w:ind w:right="-46"/>
              <w:rPr>
                <w:rFonts w:cs="Arial"/>
                <w:b/>
                <w:bCs/>
              </w:rPr>
            </w:pPr>
          </w:p>
        </w:tc>
        <w:tc>
          <w:tcPr>
            <w:tcW w:w="2311" w:type="dxa"/>
          </w:tcPr>
          <w:p w:rsidR="00321030" w:rsidRPr="0071029A" w:rsidRDefault="00321030" w:rsidP="003D58F1">
            <w:pPr>
              <w:spacing w:after="0"/>
              <w:ind w:right="-46"/>
              <w:jc w:val="center"/>
              <w:rPr>
                <w:rFonts w:cs="Arial"/>
                <w:b/>
                <w:bCs/>
              </w:rPr>
            </w:pPr>
          </w:p>
          <w:p w:rsidR="0071029A" w:rsidRPr="0071029A" w:rsidRDefault="006D59AC" w:rsidP="003D58F1">
            <w:pPr>
              <w:spacing w:after="0"/>
              <w:ind w:right="-46"/>
              <w:jc w:val="center"/>
              <w:rPr>
                <w:rFonts w:cs="Arial"/>
                <w:b/>
                <w:bCs/>
              </w:rPr>
            </w:pPr>
            <w:r>
              <w:rPr>
                <w:rFonts w:cs="Arial"/>
                <w:b/>
                <w:bCs/>
              </w:rPr>
              <w:t>7</w:t>
            </w:r>
          </w:p>
        </w:tc>
      </w:tr>
      <w:tr w:rsidR="00E775EA" w:rsidTr="00D94092">
        <w:tc>
          <w:tcPr>
            <w:tcW w:w="6705" w:type="dxa"/>
          </w:tcPr>
          <w:p w:rsidR="00E775EA" w:rsidRPr="0071029A" w:rsidRDefault="00E775EA" w:rsidP="003D58F1">
            <w:pPr>
              <w:tabs>
                <w:tab w:val="left" w:pos="738"/>
                <w:tab w:val="left" w:pos="1387"/>
                <w:tab w:val="left" w:pos="1762"/>
                <w:tab w:val="left" w:pos="1872"/>
              </w:tabs>
              <w:spacing w:after="0"/>
              <w:ind w:right="-46"/>
              <w:rPr>
                <w:rFonts w:cs="Arial"/>
                <w:b/>
                <w:bCs/>
              </w:rPr>
            </w:pPr>
          </w:p>
          <w:p w:rsidR="0071029A" w:rsidRPr="0071029A" w:rsidRDefault="0071029A" w:rsidP="003D58F1">
            <w:pPr>
              <w:tabs>
                <w:tab w:val="left" w:pos="738"/>
                <w:tab w:val="left" w:pos="1387"/>
                <w:tab w:val="left" w:pos="1762"/>
                <w:tab w:val="left" w:pos="1872"/>
              </w:tabs>
              <w:spacing w:after="0"/>
              <w:ind w:right="-46"/>
              <w:rPr>
                <w:rFonts w:cs="Arial"/>
                <w:b/>
                <w:bCs/>
              </w:rPr>
            </w:pPr>
            <w:r>
              <w:rPr>
                <w:rFonts w:cs="Arial"/>
                <w:b/>
                <w:bCs/>
              </w:rPr>
              <w:t>3.</w:t>
            </w:r>
            <w:r>
              <w:rPr>
                <w:rFonts w:cs="Arial"/>
                <w:b/>
                <w:bCs/>
              </w:rPr>
              <w:tab/>
            </w:r>
            <w:r w:rsidR="00D94092">
              <w:rPr>
                <w:rFonts w:cs="Arial"/>
                <w:b/>
              </w:rPr>
              <w:t>Resources Available</w:t>
            </w:r>
          </w:p>
          <w:p w:rsidR="0071029A" w:rsidRPr="0071029A" w:rsidRDefault="0071029A" w:rsidP="003D58F1">
            <w:pPr>
              <w:tabs>
                <w:tab w:val="left" w:pos="738"/>
                <w:tab w:val="left" w:pos="1387"/>
                <w:tab w:val="left" w:pos="1762"/>
                <w:tab w:val="left" w:pos="1872"/>
              </w:tabs>
              <w:spacing w:after="0"/>
              <w:ind w:right="-46"/>
              <w:rPr>
                <w:rFonts w:cs="Arial"/>
                <w:b/>
                <w:bCs/>
              </w:rPr>
            </w:pPr>
          </w:p>
        </w:tc>
        <w:tc>
          <w:tcPr>
            <w:tcW w:w="2311" w:type="dxa"/>
          </w:tcPr>
          <w:p w:rsidR="00321030" w:rsidRDefault="00321030" w:rsidP="003D58F1">
            <w:pPr>
              <w:spacing w:after="0"/>
              <w:ind w:right="-46"/>
              <w:jc w:val="center"/>
              <w:rPr>
                <w:rFonts w:cs="Arial"/>
                <w:b/>
                <w:bCs/>
              </w:rPr>
            </w:pPr>
          </w:p>
          <w:p w:rsidR="0071029A" w:rsidRPr="0071029A" w:rsidRDefault="006D59AC" w:rsidP="003135E1">
            <w:pPr>
              <w:spacing w:after="0"/>
              <w:ind w:right="-46"/>
              <w:jc w:val="center"/>
              <w:rPr>
                <w:rFonts w:cs="Arial"/>
                <w:b/>
                <w:bCs/>
              </w:rPr>
            </w:pPr>
            <w:r>
              <w:rPr>
                <w:rFonts w:cs="Arial"/>
                <w:b/>
                <w:bCs/>
              </w:rPr>
              <w:t>8</w:t>
            </w:r>
          </w:p>
        </w:tc>
      </w:tr>
      <w:tr w:rsidR="00405273" w:rsidTr="00D94092">
        <w:tc>
          <w:tcPr>
            <w:tcW w:w="6705" w:type="dxa"/>
          </w:tcPr>
          <w:p w:rsidR="00405273" w:rsidRDefault="00405273" w:rsidP="003D58F1">
            <w:pPr>
              <w:tabs>
                <w:tab w:val="left" w:pos="738"/>
                <w:tab w:val="left" w:pos="1387"/>
                <w:tab w:val="left" w:pos="1762"/>
                <w:tab w:val="left" w:pos="1872"/>
              </w:tabs>
              <w:spacing w:after="0"/>
              <w:ind w:right="-46"/>
              <w:rPr>
                <w:rFonts w:cs="Arial"/>
                <w:b/>
                <w:bCs/>
              </w:rPr>
            </w:pPr>
          </w:p>
          <w:p w:rsidR="0071029A" w:rsidRDefault="0071029A" w:rsidP="003D58F1">
            <w:pPr>
              <w:tabs>
                <w:tab w:val="left" w:pos="738"/>
                <w:tab w:val="left" w:pos="1387"/>
                <w:tab w:val="left" w:pos="1762"/>
                <w:tab w:val="left" w:pos="1872"/>
              </w:tabs>
              <w:spacing w:after="0"/>
              <w:ind w:right="-46"/>
              <w:rPr>
                <w:rFonts w:cs="Arial"/>
                <w:b/>
                <w:bCs/>
              </w:rPr>
            </w:pPr>
            <w:r>
              <w:rPr>
                <w:rFonts w:cs="Arial"/>
                <w:b/>
                <w:bCs/>
              </w:rPr>
              <w:t>4.</w:t>
            </w:r>
            <w:r>
              <w:rPr>
                <w:rFonts w:cs="Arial"/>
                <w:b/>
                <w:bCs/>
              </w:rPr>
              <w:tab/>
            </w:r>
            <w:r w:rsidR="00D94092" w:rsidRPr="00F41E2E">
              <w:rPr>
                <w:rFonts w:cs="Arial"/>
                <w:b/>
              </w:rPr>
              <w:t>Spending Pressures</w:t>
            </w:r>
          </w:p>
          <w:p w:rsidR="0071029A" w:rsidRPr="0071029A" w:rsidRDefault="0071029A" w:rsidP="003D58F1">
            <w:pPr>
              <w:tabs>
                <w:tab w:val="left" w:pos="738"/>
                <w:tab w:val="left" w:pos="1387"/>
                <w:tab w:val="left" w:pos="1762"/>
                <w:tab w:val="left" w:pos="1872"/>
              </w:tabs>
              <w:spacing w:after="0"/>
              <w:ind w:right="-46"/>
              <w:rPr>
                <w:rFonts w:cs="Arial"/>
                <w:b/>
                <w:bCs/>
              </w:rPr>
            </w:pPr>
          </w:p>
        </w:tc>
        <w:tc>
          <w:tcPr>
            <w:tcW w:w="2311" w:type="dxa"/>
          </w:tcPr>
          <w:p w:rsidR="00405273" w:rsidRDefault="00405273" w:rsidP="003D58F1">
            <w:pPr>
              <w:spacing w:after="0"/>
              <w:ind w:right="-46"/>
              <w:jc w:val="center"/>
              <w:rPr>
                <w:rFonts w:cs="Arial"/>
                <w:b/>
                <w:bCs/>
              </w:rPr>
            </w:pPr>
          </w:p>
          <w:p w:rsidR="0071029A" w:rsidRPr="0071029A" w:rsidRDefault="006D59AC" w:rsidP="003D58F1">
            <w:pPr>
              <w:spacing w:after="0"/>
              <w:ind w:right="-46"/>
              <w:jc w:val="center"/>
              <w:rPr>
                <w:rFonts w:cs="Arial"/>
                <w:b/>
                <w:bCs/>
              </w:rPr>
            </w:pPr>
            <w:r>
              <w:rPr>
                <w:rFonts w:cs="Arial"/>
                <w:b/>
                <w:bCs/>
              </w:rPr>
              <w:t>10</w:t>
            </w:r>
          </w:p>
        </w:tc>
      </w:tr>
      <w:tr w:rsidR="005703D9" w:rsidTr="00D94092">
        <w:tc>
          <w:tcPr>
            <w:tcW w:w="6705" w:type="dxa"/>
          </w:tcPr>
          <w:p w:rsidR="00760CD7" w:rsidRDefault="00760CD7" w:rsidP="003D58F1">
            <w:pPr>
              <w:tabs>
                <w:tab w:val="left" w:pos="738"/>
                <w:tab w:val="left" w:pos="1387"/>
                <w:tab w:val="left" w:pos="1762"/>
              </w:tabs>
              <w:spacing w:after="0"/>
              <w:ind w:right="-46"/>
              <w:rPr>
                <w:rFonts w:cs="Arial"/>
                <w:b/>
                <w:bCs/>
              </w:rPr>
            </w:pPr>
          </w:p>
          <w:p w:rsidR="0071029A" w:rsidRDefault="0071029A" w:rsidP="003D58F1">
            <w:pPr>
              <w:tabs>
                <w:tab w:val="left" w:pos="738"/>
                <w:tab w:val="left" w:pos="1387"/>
                <w:tab w:val="left" w:pos="1762"/>
              </w:tabs>
              <w:spacing w:after="0"/>
              <w:ind w:right="-46"/>
              <w:rPr>
                <w:rFonts w:cs="Arial"/>
                <w:b/>
                <w:bCs/>
              </w:rPr>
            </w:pPr>
            <w:r>
              <w:rPr>
                <w:rFonts w:cs="Arial"/>
                <w:b/>
                <w:bCs/>
              </w:rPr>
              <w:t>5.</w:t>
            </w:r>
            <w:r>
              <w:rPr>
                <w:rFonts w:cs="Arial"/>
                <w:b/>
                <w:bCs/>
              </w:rPr>
              <w:tab/>
            </w:r>
            <w:r w:rsidR="00D21FDD">
              <w:rPr>
                <w:rFonts w:cs="Arial"/>
                <w:b/>
                <w:bCs/>
              </w:rPr>
              <w:t>Future Risks</w:t>
            </w:r>
          </w:p>
          <w:p w:rsidR="0071029A" w:rsidRPr="0071029A" w:rsidRDefault="0071029A" w:rsidP="003D58F1">
            <w:pPr>
              <w:tabs>
                <w:tab w:val="left" w:pos="738"/>
                <w:tab w:val="left" w:pos="1387"/>
                <w:tab w:val="left" w:pos="1762"/>
              </w:tabs>
              <w:spacing w:after="0"/>
              <w:ind w:right="-46"/>
              <w:rPr>
                <w:rFonts w:cs="Arial"/>
                <w:b/>
                <w:bCs/>
              </w:rPr>
            </w:pPr>
          </w:p>
        </w:tc>
        <w:tc>
          <w:tcPr>
            <w:tcW w:w="2311" w:type="dxa"/>
          </w:tcPr>
          <w:p w:rsidR="00EE38E9" w:rsidRDefault="00EE38E9" w:rsidP="003D58F1">
            <w:pPr>
              <w:spacing w:after="0"/>
              <w:ind w:right="-46"/>
              <w:jc w:val="center"/>
              <w:rPr>
                <w:rFonts w:cs="Arial"/>
                <w:b/>
                <w:bCs/>
              </w:rPr>
            </w:pPr>
          </w:p>
          <w:p w:rsidR="0071029A" w:rsidRPr="0071029A" w:rsidRDefault="006D59AC" w:rsidP="003D58F1">
            <w:pPr>
              <w:spacing w:after="0"/>
              <w:ind w:right="-46"/>
              <w:jc w:val="center"/>
              <w:rPr>
                <w:rFonts w:cs="Arial"/>
                <w:b/>
                <w:bCs/>
              </w:rPr>
            </w:pPr>
            <w:r>
              <w:rPr>
                <w:rFonts w:cs="Arial"/>
                <w:b/>
                <w:bCs/>
              </w:rPr>
              <w:t>14</w:t>
            </w:r>
          </w:p>
        </w:tc>
      </w:tr>
      <w:tr w:rsidR="003135E1" w:rsidTr="003135E1">
        <w:trPr>
          <w:trHeight w:val="874"/>
        </w:trPr>
        <w:tc>
          <w:tcPr>
            <w:tcW w:w="6705" w:type="dxa"/>
          </w:tcPr>
          <w:p w:rsidR="003135E1" w:rsidRDefault="003135E1" w:rsidP="003D58F1">
            <w:pPr>
              <w:tabs>
                <w:tab w:val="left" w:pos="738"/>
                <w:tab w:val="left" w:pos="1387"/>
                <w:tab w:val="left" w:pos="1762"/>
              </w:tabs>
              <w:spacing w:after="0"/>
              <w:ind w:right="-46"/>
              <w:rPr>
                <w:rFonts w:cs="Arial"/>
                <w:b/>
                <w:bCs/>
              </w:rPr>
            </w:pPr>
          </w:p>
          <w:p w:rsidR="003135E1" w:rsidRDefault="003135E1" w:rsidP="003D58F1">
            <w:pPr>
              <w:tabs>
                <w:tab w:val="left" w:pos="738"/>
                <w:tab w:val="left" w:pos="1387"/>
                <w:tab w:val="left" w:pos="1762"/>
              </w:tabs>
              <w:spacing w:after="0"/>
              <w:ind w:right="-46"/>
              <w:rPr>
                <w:rFonts w:cs="Arial"/>
                <w:b/>
                <w:bCs/>
              </w:rPr>
            </w:pPr>
            <w:r>
              <w:rPr>
                <w:rFonts w:cs="Arial"/>
                <w:b/>
                <w:bCs/>
              </w:rPr>
              <w:t>6.        Future Savings</w:t>
            </w:r>
          </w:p>
          <w:p w:rsidR="003135E1" w:rsidRDefault="003135E1" w:rsidP="003D58F1">
            <w:pPr>
              <w:tabs>
                <w:tab w:val="left" w:pos="738"/>
                <w:tab w:val="left" w:pos="1387"/>
                <w:tab w:val="left" w:pos="1762"/>
              </w:tabs>
              <w:spacing w:after="0"/>
              <w:ind w:right="-46"/>
              <w:rPr>
                <w:rFonts w:cs="Arial"/>
                <w:b/>
                <w:bCs/>
              </w:rPr>
            </w:pPr>
          </w:p>
        </w:tc>
        <w:tc>
          <w:tcPr>
            <w:tcW w:w="2311" w:type="dxa"/>
          </w:tcPr>
          <w:p w:rsidR="003135E1" w:rsidRDefault="003135E1" w:rsidP="003D58F1">
            <w:pPr>
              <w:spacing w:after="0"/>
              <w:ind w:right="-46"/>
              <w:jc w:val="center"/>
              <w:rPr>
                <w:rFonts w:cs="Arial"/>
                <w:b/>
                <w:bCs/>
              </w:rPr>
            </w:pPr>
          </w:p>
          <w:p w:rsidR="003135E1" w:rsidRDefault="006D59AC" w:rsidP="003D58F1">
            <w:pPr>
              <w:spacing w:after="0"/>
              <w:ind w:right="-46"/>
              <w:jc w:val="center"/>
              <w:rPr>
                <w:rFonts w:cs="Arial"/>
                <w:b/>
                <w:bCs/>
              </w:rPr>
            </w:pPr>
            <w:r>
              <w:rPr>
                <w:rFonts w:cs="Arial"/>
                <w:b/>
                <w:bCs/>
              </w:rPr>
              <w:t>15</w:t>
            </w:r>
          </w:p>
        </w:tc>
      </w:tr>
    </w:tbl>
    <w:p w:rsidR="0037393E" w:rsidRPr="004639F9" w:rsidRDefault="0037393E" w:rsidP="003D58F1">
      <w:pPr>
        <w:spacing w:after="0"/>
        <w:ind w:right="-46"/>
        <w:rPr>
          <w:rFonts w:cs="Arial"/>
          <w:b/>
          <w:bCs/>
          <w:sz w:val="22"/>
        </w:rPr>
      </w:pPr>
    </w:p>
    <w:p w:rsidR="00932C3B" w:rsidRPr="008321DE" w:rsidRDefault="00B81DFC" w:rsidP="003D58F1">
      <w:pPr>
        <w:pBdr>
          <w:bottom w:val="single" w:sz="4" w:space="1" w:color="auto"/>
        </w:pBdr>
        <w:tabs>
          <w:tab w:val="left" w:pos="567"/>
          <w:tab w:val="left" w:pos="1134"/>
        </w:tabs>
        <w:spacing w:after="0"/>
        <w:rPr>
          <w:rFonts w:cs="Arial"/>
          <w:b/>
          <w:sz w:val="28"/>
          <w:szCs w:val="28"/>
        </w:rPr>
      </w:pPr>
      <w:r>
        <w:rPr>
          <w:rFonts w:eastAsia="Arial Unicode MS" w:cs="Arial"/>
          <w:b/>
          <w:sz w:val="28"/>
          <w:szCs w:val="28"/>
          <w:u w:color="000000"/>
          <w:lang w:eastAsia="en-GB"/>
        </w:rPr>
        <w:br w:type="page"/>
      </w:r>
      <w:r w:rsidR="00932C3B" w:rsidRPr="008321DE">
        <w:rPr>
          <w:rFonts w:cs="Arial"/>
          <w:b/>
          <w:sz w:val="28"/>
          <w:szCs w:val="28"/>
        </w:rPr>
        <w:lastRenderedPageBreak/>
        <w:t>Financial Outlook for the County Council: Medium Term Financial Strategy</w:t>
      </w:r>
    </w:p>
    <w:p w:rsidR="00932C3B" w:rsidRDefault="00932C3B" w:rsidP="003D58F1">
      <w:pPr>
        <w:tabs>
          <w:tab w:val="left" w:pos="567"/>
          <w:tab w:val="left" w:pos="1134"/>
        </w:tabs>
        <w:spacing w:after="0"/>
        <w:rPr>
          <w:rFonts w:cs="Arial"/>
        </w:rPr>
      </w:pPr>
    </w:p>
    <w:p w:rsidR="008321DE" w:rsidRDefault="008321DE" w:rsidP="007F3C40">
      <w:pPr>
        <w:pStyle w:val="ListParagraph"/>
        <w:numPr>
          <w:ilvl w:val="0"/>
          <w:numId w:val="28"/>
        </w:numPr>
        <w:spacing w:after="0"/>
        <w:ind w:left="567" w:hanging="567"/>
        <w:rPr>
          <w:rFonts w:cs="Arial"/>
          <w:b/>
        </w:rPr>
      </w:pPr>
      <w:r w:rsidRPr="008321DE">
        <w:rPr>
          <w:rFonts w:cs="Arial"/>
          <w:b/>
        </w:rPr>
        <w:t>Executive Summary</w:t>
      </w:r>
    </w:p>
    <w:p w:rsidR="008321DE" w:rsidRPr="008321DE" w:rsidRDefault="008321DE" w:rsidP="007F3C40">
      <w:pPr>
        <w:tabs>
          <w:tab w:val="left" w:pos="567"/>
          <w:tab w:val="left" w:pos="1134"/>
        </w:tabs>
        <w:spacing w:after="0"/>
        <w:rPr>
          <w:rFonts w:cs="Arial"/>
          <w:b/>
        </w:rPr>
      </w:pPr>
    </w:p>
    <w:p w:rsidR="00932C3B" w:rsidRDefault="00932C3B" w:rsidP="007F3C40">
      <w:pPr>
        <w:pStyle w:val="ListParagraph"/>
        <w:numPr>
          <w:ilvl w:val="1"/>
          <w:numId w:val="29"/>
        </w:numPr>
        <w:tabs>
          <w:tab w:val="left" w:pos="567"/>
          <w:tab w:val="left" w:pos="1134"/>
        </w:tabs>
        <w:spacing w:after="0"/>
        <w:ind w:left="567" w:hanging="567"/>
        <w:rPr>
          <w:rFonts w:cs="Arial"/>
          <w:b/>
        </w:rPr>
      </w:pPr>
      <w:r w:rsidRPr="00696A7C">
        <w:rPr>
          <w:rFonts w:cs="Arial"/>
          <w:b/>
        </w:rPr>
        <w:t>Introduction</w:t>
      </w:r>
    </w:p>
    <w:p w:rsidR="003D58F1" w:rsidRPr="003D3C68" w:rsidRDefault="003D58F1" w:rsidP="007F3C40">
      <w:pPr>
        <w:tabs>
          <w:tab w:val="left" w:pos="567"/>
          <w:tab w:val="left" w:pos="1134"/>
        </w:tabs>
        <w:spacing w:after="0"/>
        <w:rPr>
          <w:rFonts w:cs="Arial"/>
          <w:b/>
        </w:rPr>
      </w:pPr>
    </w:p>
    <w:p w:rsidR="00696E0F" w:rsidRDefault="00697D1D" w:rsidP="007F3C40">
      <w:pPr>
        <w:tabs>
          <w:tab w:val="left" w:pos="567"/>
          <w:tab w:val="left" w:pos="1134"/>
        </w:tabs>
        <w:spacing w:after="0"/>
      </w:pPr>
      <w:r w:rsidRPr="00697D1D">
        <w:rPr>
          <w:rFonts w:cs="Arial"/>
        </w:rPr>
        <w:t xml:space="preserve">This report outlines the financial position facing Lancashire County Council over the period 2015/16 to 2020/21. </w:t>
      </w:r>
      <w:r w:rsidR="000C5639">
        <w:rPr>
          <w:rFonts w:cs="Arial"/>
        </w:rPr>
        <w:t xml:space="preserve">The </w:t>
      </w:r>
      <w:r w:rsidR="005C4C7C">
        <w:rPr>
          <w:rFonts w:cs="Arial"/>
        </w:rPr>
        <w:t xml:space="preserve">County </w:t>
      </w:r>
      <w:r w:rsidR="000C5639">
        <w:rPr>
          <w:rFonts w:cs="Arial"/>
        </w:rPr>
        <w:t xml:space="preserve">Council is experiencing an ongoing period of unprecedented financial pressure as a result of the </w:t>
      </w:r>
      <w:r w:rsidR="00B72437">
        <w:rPr>
          <w:rFonts w:cs="Arial"/>
        </w:rPr>
        <w:t>G</w:t>
      </w:r>
      <w:r w:rsidR="000C5639">
        <w:rPr>
          <w:rFonts w:cs="Arial"/>
        </w:rPr>
        <w:t>overnment's extended programme of austerity combined with significant increases in demand for public services.</w:t>
      </w:r>
      <w:r w:rsidRPr="00697D1D">
        <w:t xml:space="preserve"> </w:t>
      </w:r>
    </w:p>
    <w:p w:rsidR="00696E0F" w:rsidRDefault="00696E0F" w:rsidP="007F3C40">
      <w:pPr>
        <w:tabs>
          <w:tab w:val="left" w:pos="567"/>
          <w:tab w:val="left" w:pos="1134"/>
        </w:tabs>
        <w:spacing w:after="0"/>
      </w:pPr>
    </w:p>
    <w:p w:rsidR="007F3C40" w:rsidRDefault="00697D1D" w:rsidP="007F3C40">
      <w:pPr>
        <w:tabs>
          <w:tab w:val="left" w:pos="567"/>
          <w:tab w:val="left" w:pos="1134"/>
        </w:tabs>
        <w:spacing w:after="0"/>
        <w:rPr>
          <w:rFonts w:cs="Arial"/>
        </w:rPr>
      </w:pPr>
      <w:r w:rsidRPr="00697D1D">
        <w:rPr>
          <w:rFonts w:cs="Arial"/>
        </w:rPr>
        <w:t>The County Council's three year Medium Term Financial Strategy (MTFS) was approved by Full Council in February 2015 covering the 2015/16 budget and the forecast position for 2016/17 to 2017/18.  This identified a funding gap of £18.3m in 2016/17 and £8.1m</w:t>
      </w:r>
      <w:r w:rsidR="007F3C40">
        <w:rPr>
          <w:rFonts w:cs="Arial"/>
        </w:rPr>
        <w:t xml:space="preserve"> in 2017/18 (£26.4m in total). </w:t>
      </w:r>
    </w:p>
    <w:p w:rsidR="007F3C40" w:rsidRDefault="007F3C40" w:rsidP="007F3C40">
      <w:pPr>
        <w:tabs>
          <w:tab w:val="left" w:pos="567"/>
          <w:tab w:val="left" w:pos="1134"/>
        </w:tabs>
        <w:spacing w:after="0"/>
        <w:rPr>
          <w:rFonts w:cs="Arial"/>
        </w:rPr>
      </w:pPr>
    </w:p>
    <w:p w:rsidR="00333713" w:rsidRDefault="00333713" w:rsidP="007F3C40">
      <w:pPr>
        <w:tabs>
          <w:tab w:val="left" w:pos="567"/>
          <w:tab w:val="left" w:pos="1134"/>
        </w:tabs>
        <w:spacing w:after="0"/>
        <w:rPr>
          <w:rFonts w:cs="Arial"/>
        </w:rPr>
      </w:pPr>
      <w:r>
        <w:rPr>
          <w:rFonts w:cs="Arial"/>
        </w:rPr>
        <w:t>In August 2015 Cabinet received a report</w:t>
      </w:r>
      <w:r w:rsidRPr="00A85630">
        <w:rPr>
          <w:rFonts w:cs="Arial"/>
        </w:rPr>
        <w:t xml:space="preserve"> outlin</w:t>
      </w:r>
      <w:r>
        <w:rPr>
          <w:rFonts w:cs="Arial"/>
        </w:rPr>
        <w:t>ing</w:t>
      </w:r>
      <w:r w:rsidRPr="00A85630">
        <w:rPr>
          <w:rFonts w:cs="Arial"/>
        </w:rPr>
        <w:t xml:space="preserve"> the </w:t>
      </w:r>
      <w:r w:rsidR="00697D1D">
        <w:rPr>
          <w:rFonts w:cs="Arial"/>
        </w:rPr>
        <w:t xml:space="preserve">latest </w:t>
      </w:r>
      <w:r w:rsidRPr="00A85630">
        <w:rPr>
          <w:rFonts w:cs="Arial"/>
        </w:rPr>
        <w:t xml:space="preserve">financial position facing Lancashire County Council </w:t>
      </w:r>
      <w:r w:rsidR="00697D1D">
        <w:rPr>
          <w:rFonts w:cs="Arial"/>
        </w:rPr>
        <w:t>which extended the period of the MTFS to cover</w:t>
      </w:r>
      <w:r w:rsidRPr="00A85630">
        <w:rPr>
          <w:rFonts w:cs="Arial"/>
        </w:rPr>
        <w:t xml:space="preserve"> the period 2015/16 to 2020/21</w:t>
      </w:r>
      <w:r>
        <w:rPr>
          <w:rFonts w:cs="Arial"/>
        </w:rPr>
        <w:t xml:space="preserve"> </w:t>
      </w:r>
      <w:r w:rsidR="009C183C">
        <w:rPr>
          <w:rFonts w:cs="Arial"/>
        </w:rPr>
        <w:t>and</w:t>
      </w:r>
      <w:r>
        <w:rPr>
          <w:rFonts w:cs="Arial"/>
        </w:rPr>
        <w:t xml:space="preserve"> </w:t>
      </w:r>
      <w:r w:rsidR="00920951">
        <w:rPr>
          <w:rFonts w:cs="Arial"/>
        </w:rPr>
        <w:t xml:space="preserve">identified </w:t>
      </w:r>
      <w:r>
        <w:rPr>
          <w:rFonts w:cs="Arial"/>
        </w:rPr>
        <w:t>a</w:t>
      </w:r>
      <w:r w:rsidR="00920951">
        <w:rPr>
          <w:rFonts w:cs="Arial"/>
        </w:rPr>
        <w:t xml:space="preserve">n estimated </w:t>
      </w:r>
      <w:r>
        <w:rPr>
          <w:rFonts w:cs="Arial"/>
        </w:rPr>
        <w:t xml:space="preserve">funding gap over the </w:t>
      </w:r>
      <w:r w:rsidR="007F3C40">
        <w:rPr>
          <w:rFonts w:cs="Arial"/>
        </w:rPr>
        <w:t xml:space="preserve">five year </w:t>
      </w:r>
      <w:r>
        <w:rPr>
          <w:rFonts w:cs="Arial"/>
        </w:rPr>
        <w:t>period of £223m</w:t>
      </w:r>
      <w:r w:rsidR="00CC0550">
        <w:rPr>
          <w:rFonts w:cs="Arial"/>
        </w:rPr>
        <w:t>.</w:t>
      </w:r>
    </w:p>
    <w:p w:rsidR="003D58F1" w:rsidRDefault="003D58F1" w:rsidP="007F3C40">
      <w:pPr>
        <w:tabs>
          <w:tab w:val="left" w:pos="567"/>
          <w:tab w:val="left" w:pos="1134"/>
        </w:tabs>
        <w:spacing w:after="0"/>
        <w:rPr>
          <w:rFonts w:cs="Arial"/>
        </w:rPr>
      </w:pPr>
    </w:p>
    <w:p w:rsidR="003D58F1" w:rsidRDefault="00C5556E" w:rsidP="007F3C40">
      <w:pPr>
        <w:tabs>
          <w:tab w:val="left" w:pos="567"/>
          <w:tab w:val="left" w:pos="1134"/>
        </w:tabs>
        <w:spacing w:after="0"/>
        <w:rPr>
          <w:rFonts w:cs="Arial"/>
        </w:rPr>
      </w:pPr>
      <w:r>
        <w:rPr>
          <w:rFonts w:cs="Arial"/>
        </w:rPr>
        <w:t>This report considers</w:t>
      </w:r>
      <w:r w:rsidR="00CC0550">
        <w:rPr>
          <w:rFonts w:cs="Arial"/>
        </w:rPr>
        <w:t>,</w:t>
      </w:r>
      <w:r>
        <w:rPr>
          <w:rFonts w:cs="Arial"/>
        </w:rPr>
        <w:t xml:space="preserve"> and where applicable revises</w:t>
      </w:r>
      <w:r w:rsidR="00CC0550">
        <w:rPr>
          <w:rFonts w:cs="Arial"/>
        </w:rPr>
        <w:t>,</w:t>
      </w:r>
      <w:r>
        <w:rPr>
          <w:rFonts w:cs="Arial"/>
        </w:rPr>
        <w:t xml:space="preserve"> the assumptions in the MTFS in light of </w:t>
      </w:r>
      <w:r w:rsidR="00E644C2">
        <w:rPr>
          <w:rFonts w:cs="Arial"/>
        </w:rPr>
        <w:t xml:space="preserve">current </w:t>
      </w:r>
      <w:r>
        <w:rPr>
          <w:rFonts w:cs="Arial"/>
        </w:rPr>
        <w:t>information.</w:t>
      </w:r>
      <w:r w:rsidR="00C15390">
        <w:rPr>
          <w:rFonts w:cs="Arial"/>
        </w:rPr>
        <w:t xml:space="preserve"> As a result of these reviews the funding gap has increased </w:t>
      </w:r>
      <w:r w:rsidR="00C15390" w:rsidRPr="00D84332">
        <w:rPr>
          <w:rFonts w:cs="Arial"/>
        </w:rPr>
        <w:t>to £</w:t>
      </w:r>
      <w:r w:rsidR="00C15390" w:rsidRPr="00E11F6A">
        <w:rPr>
          <w:rFonts w:cs="Arial"/>
        </w:rPr>
        <w:t>2</w:t>
      </w:r>
      <w:r w:rsidR="00B72437">
        <w:rPr>
          <w:rFonts w:cs="Arial"/>
        </w:rPr>
        <w:t>62</w:t>
      </w:r>
      <w:r w:rsidR="00C15390" w:rsidRPr="00E11F6A">
        <w:rPr>
          <w:rFonts w:cs="Arial"/>
        </w:rPr>
        <w:t>m</w:t>
      </w:r>
      <w:r w:rsidR="00DF300F">
        <w:rPr>
          <w:rFonts w:cs="Arial"/>
        </w:rPr>
        <w:t>.</w:t>
      </w:r>
    </w:p>
    <w:p w:rsidR="00932C3B" w:rsidRDefault="00932C3B" w:rsidP="007F3C40">
      <w:pPr>
        <w:tabs>
          <w:tab w:val="left" w:pos="567"/>
          <w:tab w:val="left" w:pos="1134"/>
        </w:tabs>
        <w:spacing w:after="0"/>
        <w:rPr>
          <w:rFonts w:cs="Arial"/>
        </w:rPr>
      </w:pPr>
    </w:p>
    <w:p w:rsidR="00932C3B" w:rsidRPr="003F3017" w:rsidRDefault="008321DE" w:rsidP="007F3C40">
      <w:pPr>
        <w:tabs>
          <w:tab w:val="left" w:pos="567"/>
          <w:tab w:val="left" w:pos="1134"/>
        </w:tabs>
        <w:spacing w:after="0"/>
        <w:rPr>
          <w:rFonts w:cs="Arial"/>
          <w:b/>
        </w:rPr>
      </w:pPr>
      <w:r w:rsidRPr="003F3017">
        <w:rPr>
          <w:rFonts w:cs="Arial"/>
          <w:b/>
        </w:rPr>
        <w:t>1.2</w:t>
      </w:r>
      <w:r w:rsidRPr="003F3017">
        <w:rPr>
          <w:rFonts w:cs="Arial"/>
          <w:b/>
        </w:rPr>
        <w:tab/>
      </w:r>
      <w:r w:rsidR="00932C3B" w:rsidRPr="003F3017">
        <w:rPr>
          <w:rFonts w:cs="Arial"/>
          <w:b/>
        </w:rPr>
        <w:t>Financial Overview 2015/16 to 2020/21</w:t>
      </w:r>
    </w:p>
    <w:p w:rsidR="003D58F1" w:rsidRPr="00920951" w:rsidRDefault="003D58F1" w:rsidP="007F3C40">
      <w:pPr>
        <w:tabs>
          <w:tab w:val="left" w:pos="567"/>
          <w:tab w:val="left" w:pos="1134"/>
        </w:tabs>
        <w:spacing w:after="0"/>
        <w:rPr>
          <w:rFonts w:cs="Arial"/>
          <w:b/>
          <w:i/>
        </w:rPr>
      </w:pPr>
    </w:p>
    <w:p w:rsidR="00D25BD0" w:rsidRPr="00E65B5D" w:rsidRDefault="00932C3B" w:rsidP="007F3C40">
      <w:pPr>
        <w:tabs>
          <w:tab w:val="left" w:pos="567"/>
          <w:tab w:val="left" w:pos="1134"/>
        </w:tabs>
        <w:spacing w:after="0"/>
        <w:rPr>
          <w:rFonts w:cs="Arial"/>
        </w:rPr>
      </w:pPr>
      <w:r w:rsidRPr="00E65B5D">
        <w:rPr>
          <w:rFonts w:cs="Arial"/>
        </w:rPr>
        <w:t xml:space="preserve">Under a separate Money Matters report the County Council's Financial Position for 2015/16 has been outlined.  </w:t>
      </w:r>
      <w:r w:rsidR="00263676" w:rsidRPr="00E65B5D">
        <w:rPr>
          <w:rFonts w:cs="Arial"/>
        </w:rPr>
        <w:t>This</w:t>
      </w:r>
      <w:r w:rsidR="00C15390" w:rsidRPr="00E65B5D">
        <w:rPr>
          <w:rFonts w:cs="Arial"/>
        </w:rPr>
        <w:t xml:space="preserve"> report provides details of the financial pressure which is forecast to be £</w:t>
      </w:r>
      <w:r w:rsidR="0091448B" w:rsidRPr="00E65B5D">
        <w:rPr>
          <w:rFonts w:cs="Arial"/>
        </w:rPr>
        <w:t>37.16</w:t>
      </w:r>
      <w:r w:rsidR="002E4007">
        <w:rPr>
          <w:rFonts w:cs="Arial"/>
        </w:rPr>
        <w:t>1</w:t>
      </w:r>
      <w:r w:rsidR="00C15390" w:rsidRPr="00E65B5D">
        <w:rPr>
          <w:rFonts w:cs="Arial"/>
        </w:rPr>
        <w:t>m</w:t>
      </w:r>
      <w:r w:rsidR="00F40757" w:rsidRPr="00E65B5D">
        <w:rPr>
          <w:rFonts w:cs="Arial"/>
        </w:rPr>
        <w:t xml:space="preserve">. This is </w:t>
      </w:r>
      <w:r w:rsidR="0091448B" w:rsidRPr="00E65B5D">
        <w:rPr>
          <w:rFonts w:cs="Arial"/>
        </w:rPr>
        <w:t>a decrease of £8.48</w:t>
      </w:r>
      <w:r w:rsidR="007F74D2">
        <w:rPr>
          <w:rFonts w:cs="Arial"/>
        </w:rPr>
        <w:t>4</w:t>
      </w:r>
      <w:r w:rsidR="0091448B" w:rsidRPr="00E65B5D">
        <w:rPr>
          <w:rFonts w:cs="Arial"/>
        </w:rPr>
        <w:t>m</w:t>
      </w:r>
      <w:r w:rsidR="00F40757" w:rsidRPr="00E65B5D">
        <w:rPr>
          <w:rFonts w:cs="Arial"/>
        </w:rPr>
        <w:t xml:space="preserve"> from the £45.64</w:t>
      </w:r>
      <w:r w:rsidR="007F74D2">
        <w:rPr>
          <w:rFonts w:cs="Arial"/>
        </w:rPr>
        <w:t>5</w:t>
      </w:r>
      <w:r w:rsidR="00F40757" w:rsidRPr="00E65B5D">
        <w:rPr>
          <w:rFonts w:cs="Arial"/>
        </w:rPr>
        <w:t>m quoted in the last MTFS report. The pressure can be summarised as follows:</w:t>
      </w:r>
      <w:r w:rsidR="00C15390" w:rsidRPr="00E65B5D">
        <w:rPr>
          <w:rFonts w:cs="Arial"/>
        </w:rPr>
        <w:t xml:space="preserve"> </w:t>
      </w:r>
    </w:p>
    <w:p w:rsidR="00F40757" w:rsidRPr="00E65B5D" w:rsidRDefault="00AC2E98" w:rsidP="007F3C40">
      <w:pPr>
        <w:tabs>
          <w:tab w:val="left" w:pos="567"/>
          <w:tab w:val="left" w:pos="1134"/>
        </w:tabs>
        <w:spacing w:after="0"/>
        <w:rPr>
          <w:rFonts w:cs="Arial"/>
        </w:rPr>
      </w:pPr>
      <w:r w:rsidRPr="00E65B5D">
        <w:rPr>
          <w:rFonts w:cs="Arial"/>
        </w:rPr>
        <w:t xml:space="preserve">   </w:t>
      </w:r>
    </w:p>
    <w:tbl>
      <w:tblPr>
        <w:tblW w:w="8980" w:type="dxa"/>
        <w:tblInd w:w="-3" w:type="dxa"/>
        <w:tblCellMar>
          <w:left w:w="0" w:type="dxa"/>
          <w:right w:w="0" w:type="dxa"/>
        </w:tblCellMar>
        <w:tblLook w:val="04A0" w:firstRow="1" w:lastRow="0" w:firstColumn="1" w:lastColumn="0" w:noHBand="0" w:noVBand="1"/>
      </w:tblPr>
      <w:tblGrid>
        <w:gridCol w:w="3640"/>
        <w:gridCol w:w="1780"/>
        <w:gridCol w:w="1780"/>
        <w:gridCol w:w="1780"/>
      </w:tblGrid>
      <w:tr w:rsidR="00601EEA" w:rsidRPr="00E65B5D" w:rsidTr="00601EEA">
        <w:trPr>
          <w:trHeight w:val="630"/>
        </w:trPr>
        <w:tc>
          <w:tcPr>
            <w:tcW w:w="3640" w:type="dxa"/>
            <w:tcBorders>
              <w:top w:val="single" w:sz="8" w:space="0" w:color="auto"/>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601EEA" w:rsidRPr="00E65B5D" w:rsidRDefault="00601EEA" w:rsidP="00601EEA">
            <w:pPr>
              <w:autoSpaceDE/>
              <w:autoSpaceDN/>
              <w:adjustRightInd/>
              <w:spacing w:after="0"/>
              <w:rPr>
                <w:rFonts w:cs="Arial"/>
                <w:lang w:eastAsia="en-GB"/>
              </w:rPr>
            </w:pPr>
            <w:r w:rsidRPr="00E65B5D">
              <w:rPr>
                <w:rFonts w:cs="Arial"/>
                <w:lang w:eastAsia="en-GB"/>
              </w:rPr>
              <w:t> </w:t>
            </w:r>
          </w:p>
        </w:tc>
        <w:tc>
          <w:tcPr>
            <w:tcW w:w="178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601EEA" w:rsidRPr="00E65B5D" w:rsidRDefault="00601EEA" w:rsidP="00601EEA">
            <w:pPr>
              <w:autoSpaceDE/>
              <w:autoSpaceDN/>
              <w:adjustRightInd/>
              <w:spacing w:after="0"/>
              <w:jc w:val="center"/>
              <w:rPr>
                <w:rFonts w:cs="Arial"/>
                <w:b/>
                <w:bCs/>
                <w:lang w:eastAsia="en-GB"/>
              </w:rPr>
            </w:pPr>
            <w:r w:rsidRPr="00E65B5D">
              <w:rPr>
                <w:rFonts w:cs="Arial"/>
                <w:b/>
                <w:bCs/>
                <w:lang w:eastAsia="en-GB"/>
              </w:rPr>
              <w:t>August MTFS report</w:t>
            </w:r>
          </w:p>
        </w:tc>
        <w:tc>
          <w:tcPr>
            <w:tcW w:w="178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601EEA" w:rsidRPr="00E65B5D" w:rsidRDefault="00601EEA" w:rsidP="00601EEA">
            <w:pPr>
              <w:autoSpaceDE/>
              <w:autoSpaceDN/>
              <w:adjustRightInd/>
              <w:spacing w:after="0"/>
              <w:jc w:val="center"/>
              <w:rPr>
                <w:rFonts w:cs="Arial"/>
                <w:b/>
                <w:bCs/>
                <w:lang w:eastAsia="en-GB"/>
              </w:rPr>
            </w:pPr>
            <w:r w:rsidRPr="00E65B5D">
              <w:rPr>
                <w:rFonts w:cs="Arial"/>
                <w:b/>
                <w:bCs/>
                <w:lang w:eastAsia="en-GB"/>
              </w:rPr>
              <w:t>Current MTFS report</w:t>
            </w:r>
          </w:p>
        </w:tc>
        <w:tc>
          <w:tcPr>
            <w:tcW w:w="1780"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601EEA" w:rsidRPr="00E65B5D" w:rsidRDefault="00601EEA" w:rsidP="00601EEA">
            <w:pPr>
              <w:autoSpaceDE/>
              <w:autoSpaceDN/>
              <w:adjustRightInd/>
              <w:spacing w:after="0"/>
              <w:jc w:val="center"/>
              <w:rPr>
                <w:rFonts w:cs="Arial"/>
                <w:b/>
                <w:bCs/>
                <w:lang w:eastAsia="en-GB"/>
              </w:rPr>
            </w:pPr>
            <w:r w:rsidRPr="00E65B5D">
              <w:rPr>
                <w:rFonts w:cs="Arial"/>
                <w:b/>
                <w:bCs/>
                <w:lang w:eastAsia="en-GB"/>
              </w:rPr>
              <w:t>Change</w:t>
            </w:r>
          </w:p>
        </w:tc>
      </w:tr>
      <w:tr w:rsidR="00601EEA" w:rsidRPr="00E65B5D" w:rsidTr="00601EEA">
        <w:trPr>
          <w:trHeight w:val="315"/>
        </w:trPr>
        <w:tc>
          <w:tcPr>
            <w:tcW w:w="3640" w:type="dxa"/>
            <w:tcBorders>
              <w:top w:val="nil"/>
              <w:left w:val="single" w:sz="8" w:space="0" w:color="auto"/>
              <w:bottom w:val="single" w:sz="8" w:space="0" w:color="auto"/>
              <w:right w:val="single" w:sz="8" w:space="0" w:color="auto"/>
            </w:tcBorders>
            <w:shd w:val="clear" w:color="auto" w:fill="BFBFBF"/>
            <w:noWrap/>
            <w:tcMar>
              <w:top w:w="0" w:type="dxa"/>
              <w:left w:w="108" w:type="dxa"/>
              <w:bottom w:w="0" w:type="dxa"/>
              <w:right w:w="108" w:type="dxa"/>
            </w:tcMar>
            <w:vAlign w:val="center"/>
            <w:hideMark/>
          </w:tcPr>
          <w:p w:rsidR="00601EEA" w:rsidRPr="00E65B5D" w:rsidRDefault="00601EEA" w:rsidP="00601EEA">
            <w:pPr>
              <w:autoSpaceDE/>
              <w:autoSpaceDN/>
              <w:adjustRightInd/>
              <w:spacing w:after="0"/>
              <w:rPr>
                <w:rFonts w:cs="Arial"/>
                <w:lang w:eastAsia="en-GB"/>
              </w:rPr>
            </w:pPr>
            <w:r w:rsidRPr="00E65B5D">
              <w:rPr>
                <w:rFonts w:cs="Arial"/>
                <w:lang w:eastAsia="en-GB"/>
              </w:rPr>
              <w:t> </w:t>
            </w:r>
          </w:p>
        </w:tc>
        <w:tc>
          <w:tcPr>
            <w:tcW w:w="178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601EEA" w:rsidRPr="00E65B5D" w:rsidRDefault="00601EEA" w:rsidP="00601EEA">
            <w:pPr>
              <w:autoSpaceDE/>
              <w:autoSpaceDN/>
              <w:adjustRightInd/>
              <w:spacing w:after="0"/>
              <w:jc w:val="center"/>
              <w:rPr>
                <w:rFonts w:cs="Arial"/>
                <w:b/>
                <w:bCs/>
                <w:lang w:eastAsia="en-GB"/>
              </w:rPr>
            </w:pPr>
            <w:r w:rsidRPr="00E65B5D">
              <w:rPr>
                <w:rFonts w:cs="Arial"/>
                <w:b/>
                <w:bCs/>
                <w:lang w:eastAsia="en-GB"/>
              </w:rPr>
              <w:t>£m</w:t>
            </w:r>
          </w:p>
        </w:tc>
        <w:tc>
          <w:tcPr>
            <w:tcW w:w="178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601EEA" w:rsidRPr="00E65B5D" w:rsidRDefault="00601EEA" w:rsidP="00601EEA">
            <w:pPr>
              <w:autoSpaceDE/>
              <w:autoSpaceDN/>
              <w:adjustRightInd/>
              <w:spacing w:after="0"/>
              <w:jc w:val="center"/>
              <w:rPr>
                <w:rFonts w:cs="Arial"/>
                <w:b/>
                <w:bCs/>
                <w:lang w:eastAsia="en-GB"/>
              </w:rPr>
            </w:pPr>
            <w:r w:rsidRPr="00E65B5D">
              <w:rPr>
                <w:rFonts w:cs="Arial"/>
                <w:b/>
                <w:bCs/>
                <w:lang w:eastAsia="en-GB"/>
              </w:rPr>
              <w:t>£m</w:t>
            </w:r>
          </w:p>
        </w:tc>
        <w:tc>
          <w:tcPr>
            <w:tcW w:w="1780" w:type="dxa"/>
            <w:tcBorders>
              <w:top w:val="nil"/>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rsidR="00601EEA" w:rsidRPr="00E65B5D" w:rsidRDefault="00601EEA" w:rsidP="00601EEA">
            <w:pPr>
              <w:autoSpaceDE/>
              <w:autoSpaceDN/>
              <w:adjustRightInd/>
              <w:spacing w:after="0"/>
              <w:jc w:val="center"/>
              <w:rPr>
                <w:rFonts w:cs="Arial"/>
                <w:b/>
                <w:bCs/>
                <w:lang w:eastAsia="en-GB"/>
              </w:rPr>
            </w:pPr>
            <w:r w:rsidRPr="00E65B5D">
              <w:rPr>
                <w:rFonts w:cs="Arial"/>
                <w:b/>
                <w:bCs/>
                <w:lang w:eastAsia="en-GB"/>
              </w:rPr>
              <w:t>£m</w:t>
            </w:r>
          </w:p>
        </w:tc>
      </w:tr>
      <w:tr w:rsidR="00601EEA" w:rsidRPr="00E65B5D" w:rsidTr="00601EEA">
        <w:trPr>
          <w:trHeight w:val="300"/>
        </w:trPr>
        <w:tc>
          <w:tcPr>
            <w:tcW w:w="36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01EEA" w:rsidRPr="00E65B5D" w:rsidRDefault="00601EEA" w:rsidP="00571113">
            <w:pPr>
              <w:autoSpaceDE/>
              <w:autoSpaceDN/>
              <w:adjustRightInd/>
              <w:spacing w:after="0"/>
              <w:jc w:val="left"/>
              <w:rPr>
                <w:rFonts w:cs="Arial"/>
                <w:lang w:eastAsia="en-GB"/>
              </w:rPr>
            </w:pPr>
            <w:r w:rsidRPr="00E65B5D">
              <w:rPr>
                <w:rFonts w:cs="Arial"/>
                <w:lang w:eastAsia="en-GB"/>
              </w:rPr>
              <w:t xml:space="preserve">2014/15 base budget pressure          </w:t>
            </w:r>
          </w:p>
        </w:tc>
        <w:tc>
          <w:tcPr>
            <w:tcW w:w="1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EEA" w:rsidRPr="00E65B5D" w:rsidRDefault="00601EEA" w:rsidP="00601EEA">
            <w:pPr>
              <w:autoSpaceDE/>
              <w:autoSpaceDN/>
              <w:adjustRightInd/>
              <w:spacing w:after="0"/>
              <w:jc w:val="center"/>
              <w:rPr>
                <w:rFonts w:cs="Arial"/>
                <w:lang w:eastAsia="en-GB"/>
              </w:rPr>
            </w:pPr>
            <w:r w:rsidRPr="00E65B5D">
              <w:rPr>
                <w:rFonts w:cs="Arial"/>
                <w:lang w:eastAsia="en-GB"/>
              </w:rPr>
              <w:t>24.838</w:t>
            </w:r>
          </w:p>
        </w:tc>
        <w:tc>
          <w:tcPr>
            <w:tcW w:w="1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EEA" w:rsidRPr="00E65B5D" w:rsidRDefault="00601EEA" w:rsidP="00601EEA">
            <w:pPr>
              <w:autoSpaceDE/>
              <w:autoSpaceDN/>
              <w:adjustRightInd/>
              <w:spacing w:after="0"/>
              <w:jc w:val="center"/>
              <w:rPr>
                <w:rFonts w:cs="Arial"/>
                <w:lang w:eastAsia="en-GB"/>
              </w:rPr>
            </w:pPr>
            <w:r w:rsidRPr="00E65B5D">
              <w:rPr>
                <w:rFonts w:cs="Arial"/>
                <w:lang w:eastAsia="en-GB"/>
              </w:rPr>
              <w:t>24.838</w:t>
            </w:r>
          </w:p>
        </w:tc>
        <w:tc>
          <w:tcPr>
            <w:tcW w:w="1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EEA" w:rsidRPr="00E65B5D" w:rsidRDefault="00601EEA" w:rsidP="00601EEA">
            <w:pPr>
              <w:autoSpaceDE/>
              <w:autoSpaceDN/>
              <w:adjustRightInd/>
              <w:spacing w:after="0"/>
              <w:jc w:val="center"/>
              <w:rPr>
                <w:rFonts w:cs="Arial"/>
                <w:lang w:eastAsia="en-GB"/>
              </w:rPr>
            </w:pPr>
            <w:r w:rsidRPr="00E65B5D">
              <w:rPr>
                <w:rFonts w:cs="Arial"/>
                <w:lang w:eastAsia="en-GB"/>
              </w:rPr>
              <w:t>0.000</w:t>
            </w:r>
          </w:p>
        </w:tc>
      </w:tr>
      <w:tr w:rsidR="00601EEA" w:rsidRPr="00E65B5D" w:rsidTr="0091448B">
        <w:trPr>
          <w:trHeight w:val="300"/>
        </w:trPr>
        <w:tc>
          <w:tcPr>
            <w:tcW w:w="36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01EEA" w:rsidRPr="00E65B5D" w:rsidRDefault="00601EEA" w:rsidP="00571113">
            <w:pPr>
              <w:autoSpaceDE/>
              <w:autoSpaceDN/>
              <w:adjustRightInd/>
              <w:spacing w:after="0"/>
              <w:jc w:val="left"/>
              <w:rPr>
                <w:rFonts w:cs="Arial"/>
                <w:lang w:eastAsia="en-GB"/>
              </w:rPr>
            </w:pPr>
            <w:r w:rsidRPr="00E65B5D">
              <w:rPr>
                <w:rFonts w:cs="Arial"/>
                <w:lang w:eastAsia="en-GB"/>
              </w:rPr>
              <w:t xml:space="preserve">Additional 2015/16 pressure                                    </w:t>
            </w:r>
          </w:p>
        </w:tc>
        <w:tc>
          <w:tcPr>
            <w:tcW w:w="1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EEA" w:rsidRPr="00E65B5D" w:rsidRDefault="00601EEA" w:rsidP="003F3017">
            <w:pPr>
              <w:autoSpaceDE/>
              <w:autoSpaceDN/>
              <w:adjustRightInd/>
              <w:spacing w:after="0"/>
              <w:jc w:val="center"/>
              <w:rPr>
                <w:rFonts w:cs="Arial"/>
                <w:lang w:eastAsia="en-GB"/>
              </w:rPr>
            </w:pPr>
            <w:r w:rsidRPr="00E65B5D">
              <w:rPr>
                <w:rFonts w:cs="Arial"/>
                <w:lang w:eastAsia="en-GB"/>
              </w:rPr>
              <w:t>16.32</w:t>
            </w:r>
            <w:r w:rsidR="003F3017">
              <w:rPr>
                <w:rFonts w:cs="Arial"/>
                <w:lang w:eastAsia="en-GB"/>
              </w:rPr>
              <w:t>8</w:t>
            </w:r>
          </w:p>
        </w:tc>
        <w:tc>
          <w:tcPr>
            <w:tcW w:w="1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EEA" w:rsidRPr="00E65B5D" w:rsidRDefault="0091448B" w:rsidP="00A33840">
            <w:pPr>
              <w:autoSpaceDE/>
              <w:autoSpaceDN/>
              <w:adjustRightInd/>
              <w:spacing w:after="0"/>
              <w:jc w:val="center"/>
              <w:rPr>
                <w:rFonts w:cs="Arial"/>
                <w:lang w:eastAsia="en-GB"/>
              </w:rPr>
            </w:pPr>
            <w:r w:rsidRPr="00E65B5D">
              <w:rPr>
                <w:rFonts w:cs="Arial"/>
                <w:lang w:eastAsia="en-GB"/>
              </w:rPr>
              <w:t>12.4</w:t>
            </w:r>
            <w:r w:rsidR="00A33840">
              <w:rPr>
                <w:rFonts w:cs="Arial"/>
                <w:lang w:eastAsia="en-GB"/>
              </w:rPr>
              <w:t>24</w:t>
            </w:r>
          </w:p>
        </w:tc>
        <w:tc>
          <w:tcPr>
            <w:tcW w:w="1780" w:type="dxa"/>
            <w:tcBorders>
              <w:top w:val="nil"/>
              <w:left w:val="nil"/>
              <w:bottom w:val="single" w:sz="8" w:space="0" w:color="auto"/>
              <w:right w:val="single" w:sz="8" w:space="0" w:color="auto"/>
            </w:tcBorders>
            <w:tcMar>
              <w:top w:w="0" w:type="dxa"/>
              <w:left w:w="108" w:type="dxa"/>
              <w:bottom w:w="0" w:type="dxa"/>
              <w:right w:w="108" w:type="dxa"/>
            </w:tcMar>
            <w:vAlign w:val="center"/>
          </w:tcPr>
          <w:p w:rsidR="00601EEA" w:rsidRPr="00E65B5D" w:rsidRDefault="0091448B" w:rsidP="003F3017">
            <w:pPr>
              <w:autoSpaceDE/>
              <w:autoSpaceDN/>
              <w:adjustRightInd/>
              <w:spacing w:after="0"/>
              <w:jc w:val="center"/>
              <w:rPr>
                <w:rFonts w:cs="Arial"/>
                <w:lang w:eastAsia="en-GB"/>
              </w:rPr>
            </w:pPr>
            <w:r w:rsidRPr="00E65B5D">
              <w:rPr>
                <w:rFonts w:cs="Arial"/>
                <w:lang w:eastAsia="en-GB"/>
              </w:rPr>
              <w:t>-3.90</w:t>
            </w:r>
            <w:r w:rsidR="003F3017">
              <w:rPr>
                <w:rFonts w:cs="Arial"/>
                <w:lang w:eastAsia="en-GB"/>
              </w:rPr>
              <w:t>4</w:t>
            </w:r>
          </w:p>
        </w:tc>
      </w:tr>
      <w:tr w:rsidR="00601EEA" w:rsidRPr="00E65B5D" w:rsidTr="0091448B">
        <w:trPr>
          <w:trHeight w:val="300"/>
        </w:trPr>
        <w:tc>
          <w:tcPr>
            <w:tcW w:w="36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01EEA" w:rsidRPr="00E65B5D" w:rsidRDefault="00601EEA" w:rsidP="00601EEA">
            <w:pPr>
              <w:autoSpaceDE/>
              <w:autoSpaceDN/>
              <w:adjustRightInd/>
              <w:spacing w:after="0"/>
              <w:rPr>
                <w:rFonts w:cs="Arial"/>
                <w:lang w:eastAsia="en-GB"/>
              </w:rPr>
            </w:pPr>
            <w:r w:rsidRPr="00E65B5D">
              <w:rPr>
                <w:rFonts w:cs="Arial"/>
                <w:lang w:eastAsia="en-GB"/>
              </w:rPr>
              <w:t>Less 2015/16 gains</w:t>
            </w:r>
          </w:p>
        </w:tc>
        <w:tc>
          <w:tcPr>
            <w:tcW w:w="1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EEA" w:rsidRPr="00E65B5D" w:rsidRDefault="00601EEA" w:rsidP="007F74D2">
            <w:pPr>
              <w:autoSpaceDE/>
              <w:autoSpaceDN/>
              <w:adjustRightInd/>
              <w:spacing w:after="0"/>
              <w:jc w:val="center"/>
              <w:rPr>
                <w:rFonts w:cs="Arial"/>
                <w:lang w:eastAsia="en-GB"/>
              </w:rPr>
            </w:pPr>
            <w:r w:rsidRPr="00E65B5D">
              <w:rPr>
                <w:rFonts w:cs="Arial"/>
                <w:lang w:eastAsia="en-GB"/>
              </w:rPr>
              <w:t>-7.91</w:t>
            </w:r>
            <w:r w:rsidR="007F74D2">
              <w:rPr>
                <w:rFonts w:cs="Arial"/>
                <w:lang w:eastAsia="en-GB"/>
              </w:rPr>
              <w:t>6</w:t>
            </w:r>
          </w:p>
        </w:tc>
        <w:tc>
          <w:tcPr>
            <w:tcW w:w="1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EEA" w:rsidRPr="00E65B5D" w:rsidRDefault="0091448B" w:rsidP="00A33840">
            <w:pPr>
              <w:autoSpaceDE/>
              <w:autoSpaceDN/>
              <w:adjustRightInd/>
              <w:spacing w:after="0"/>
              <w:jc w:val="center"/>
              <w:rPr>
                <w:rFonts w:cs="Arial"/>
                <w:lang w:eastAsia="en-GB"/>
              </w:rPr>
            </w:pPr>
            <w:r w:rsidRPr="00E65B5D">
              <w:rPr>
                <w:rFonts w:cs="Arial"/>
                <w:lang w:eastAsia="en-GB"/>
              </w:rPr>
              <w:t>-17.59</w:t>
            </w:r>
            <w:r w:rsidR="00A33840">
              <w:rPr>
                <w:rFonts w:cs="Arial"/>
                <w:lang w:eastAsia="en-GB"/>
              </w:rPr>
              <w:t>6</w:t>
            </w:r>
          </w:p>
        </w:tc>
        <w:tc>
          <w:tcPr>
            <w:tcW w:w="1780" w:type="dxa"/>
            <w:tcBorders>
              <w:top w:val="nil"/>
              <w:left w:val="nil"/>
              <w:bottom w:val="single" w:sz="8" w:space="0" w:color="auto"/>
              <w:right w:val="single" w:sz="8" w:space="0" w:color="auto"/>
            </w:tcBorders>
            <w:tcMar>
              <w:top w:w="0" w:type="dxa"/>
              <w:left w:w="108" w:type="dxa"/>
              <w:bottom w:w="0" w:type="dxa"/>
              <w:right w:w="108" w:type="dxa"/>
            </w:tcMar>
            <w:vAlign w:val="center"/>
          </w:tcPr>
          <w:p w:rsidR="00601EEA" w:rsidRPr="00E65B5D" w:rsidRDefault="0091448B" w:rsidP="007F74D2">
            <w:pPr>
              <w:autoSpaceDE/>
              <w:autoSpaceDN/>
              <w:adjustRightInd/>
              <w:spacing w:after="0"/>
              <w:jc w:val="center"/>
              <w:rPr>
                <w:rFonts w:cs="Arial"/>
                <w:lang w:eastAsia="en-GB"/>
              </w:rPr>
            </w:pPr>
            <w:r w:rsidRPr="00E65B5D">
              <w:rPr>
                <w:rFonts w:cs="Arial"/>
                <w:lang w:eastAsia="en-GB"/>
              </w:rPr>
              <w:t>-9.6</w:t>
            </w:r>
            <w:r w:rsidR="002E4007">
              <w:rPr>
                <w:rFonts w:cs="Arial"/>
                <w:lang w:eastAsia="en-GB"/>
              </w:rPr>
              <w:t>8</w:t>
            </w:r>
            <w:r w:rsidR="007F74D2">
              <w:rPr>
                <w:rFonts w:cs="Arial"/>
                <w:lang w:eastAsia="en-GB"/>
              </w:rPr>
              <w:t>0</w:t>
            </w:r>
          </w:p>
        </w:tc>
      </w:tr>
      <w:tr w:rsidR="00601EEA" w:rsidRPr="00E65B5D" w:rsidTr="0091448B">
        <w:trPr>
          <w:trHeight w:val="300"/>
        </w:trPr>
        <w:tc>
          <w:tcPr>
            <w:tcW w:w="36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01EEA" w:rsidRPr="00E65B5D" w:rsidRDefault="00601EEA" w:rsidP="00601EEA">
            <w:pPr>
              <w:autoSpaceDE/>
              <w:autoSpaceDN/>
              <w:adjustRightInd/>
              <w:spacing w:after="0"/>
              <w:rPr>
                <w:rFonts w:cs="Arial"/>
                <w:lang w:eastAsia="en-GB"/>
              </w:rPr>
            </w:pPr>
            <w:r w:rsidRPr="00E65B5D">
              <w:rPr>
                <w:rFonts w:cs="Arial"/>
                <w:lang w:eastAsia="en-GB"/>
              </w:rPr>
              <w:t>Reserves applied in 2015/16</w:t>
            </w:r>
          </w:p>
        </w:tc>
        <w:tc>
          <w:tcPr>
            <w:tcW w:w="1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EEA" w:rsidRPr="00E65B5D" w:rsidRDefault="00601EEA" w:rsidP="00601EEA">
            <w:pPr>
              <w:autoSpaceDE/>
              <w:autoSpaceDN/>
              <w:adjustRightInd/>
              <w:spacing w:after="0"/>
              <w:jc w:val="center"/>
              <w:rPr>
                <w:rFonts w:cs="Arial"/>
                <w:lang w:eastAsia="en-GB"/>
              </w:rPr>
            </w:pPr>
            <w:r w:rsidRPr="00E65B5D">
              <w:rPr>
                <w:rFonts w:cs="Arial"/>
                <w:lang w:eastAsia="en-GB"/>
              </w:rPr>
              <w:t>12.395</w:t>
            </w:r>
          </w:p>
        </w:tc>
        <w:tc>
          <w:tcPr>
            <w:tcW w:w="1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EEA" w:rsidRPr="00E65B5D" w:rsidRDefault="0091448B" w:rsidP="00601EEA">
            <w:pPr>
              <w:autoSpaceDE/>
              <w:autoSpaceDN/>
              <w:adjustRightInd/>
              <w:spacing w:after="0"/>
              <w:jc w:val="center"/>
              <w:rPr>
                <w:rFonts w:cs="Arial"/>
                <w:lang w:eastAsia="en-GB"/>
              </w:rPr>
            </w:pPr>
            <w:r w:rsidRPr="00E65B5D">
              <w:rPr>
                <w:rFonts w:cs="Arial"/>
                <w:lang w:eastAsia="en-GB"/>
              </w:rPr>
              <w:t>17.495</w:t>
            </w:r>
          </w:p>
        </w:tc>
        <w:tc>
          <w:tcPr>
            <w:tcW w:w="1780" w:type="dxa"/>
            <w:tcBorders>
              <w:top w:val="nil"/>
              <w:left w:val="nil"/>
              <w:bottom w:val="single" w:sz="8" w:space="0" w:color="auto"/>
              <w:right w:val="single" w:sz="8" w:space="0" w:color="auto"/>
            </w:tcBorders>
            <w:tcMar>
              <w:top w:w="0" w:type="dxa"/>
              <w:left w:w="108" w:type="dxa"/>
              <w:bottom w:w="0" w:type="dxa"/>
              <w:right w:w="108" w:type="dxa"/>
            </w:tcMar>
            <w:vAlign w:val="center"/>
          </w:tcPr>
          <w:p w:rsidR="00601EEA" w:rsidRPr="00E65B5D" w:rsidRDefault="0091448B" w:rsidP="00601EEA">
            <w:pPr>
              <w:autoSpaceDE/>
              <w:autoSpaceDN/>
              <w:adjustRightInd/>
              <w:spacing w:after="0"/>
              <w:jc w:val="center"/>
              <w:rPr>
                <w:rFonts w:cs="Arial"/>
                <w:lang w:eastAsia="en-GB"/>
              </w:rPr>
            </w:pPr>
            <w:r w:rsidRPr="00E65B5D">
              <w:rPr>
                <w:rFonts w:cs="Arial"/>
                <w:lang w:eastAsia="en-GB"/>
              </w:rPr>
              <w:t>5.100</w:t>
            </w:r>
          </w:p>
        </w:tc>
      </w:tr>
      <w:tr w:rsidR="00601EEA" w:rsidRPr="00E65B5D" w:rsidTr="00601EEA">
        <w:trPr>
          <w:trHeight w:val="315"/>
        </w:trPr>
        <w:tc>
          <w:tcPr>
            <w:tcW w:w="364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601EEA" w:rsidRPr="00E65B5D" w:rsidRDefault="00601EEA" w:rsidP="00601EEA">
            <w:pPr>
              <w:autoSpaceDE/>
              <w:autoSpaceDN/>
              <w:adjustRightInd/>
              <w:spacing w:after="0"/>
              <w:rPr>
                <w:rFonts w:cs="Arial"/>
                <w:b/>
                <w:bCs/>
                <w:lang w:eastAsia="en-GB"/>
              </w:rPr>
            </w:pPr>
            <w:r w:rsidRPr="00E65B5D">
              <w:rPr>
                <w:rFonts w:cs="Arial"/>
                <w:b/>
                <w:bCs/>
                <w:lang w:eastAsia="en-GB"/>
              </w:rPr>
              <w:t>Total</w:t>
            </w:r>
          </w:p>
        </w:tc>
        <w:tc>
          <w:tcPr>
            <w:tcW w:w="1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EEA" w:rsidRPr="00E65B5D" w:rsidRDefault="00601EEA" w:rsidP="007F74D2">
            <w:pPr>
              <w:autoSpaceDE/>
              <w:autoSpaceDN/>
              <w:adjustRightInd/>
              <w:spacing w:after="0"/>
              <w:jc w:val="center"/>
              <w:rPr>
                <w:rFonts w:cs="Arial"/>
                <w:b/>
                <w:bCs/>
                <w:lang w:eastAsia="en-GB"/>
              </w:rPr>
            </w:pPr>
            <w:r w:rsidRPr="007F74D2">
              <w:rPr>
                <w:rFonts w:cs="Arial"/>
                <w:b/>
                <w:bCs/>
                <w:lang w:eastAsia="en-GB"/>
              </w:rPr>
              <w:t>45.64</w:t>
            </w:r>
            <w:r w:rsidR="007F74D2">
              <w:rPr>
                <w:rFonts w:cs="Arial"/>
                <w:b/>
                <w:bCs/>
                <w:lang w:eastAsia="en-GB"/>
              </w:rPr>
              <w:t>5</w:t>
            </w:r>
          </w:p>
        </w:tc>
        <w:tc>
          <w:tcPr>
            <w:tcW w:w="1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EEA" w:rsidRPr="00E65B5D" w:rsidRDefault="0091448B" w:rsidP="002E4007">
            <w:pPr>
              <w:autoSpaceDE/>
              <w:autoSpaceDN/>
              <w:adjustRightInd/>
              <w:spacing w:after="0"/>
              <w:jc w:val="center"/>
              <w:rPr>
                <w:rFonts w:cs="Arial"/>
                <w:b/>
                <w:bCs/>
                <w:lang w:eastAsia="en-GB"/>
              </w:rPr>
            </w:pPr>
            <w:r w:rsidRPr="00E65B5D">
              <w:rPr>
                <w:rFonts w:cs="Arial"/>
                <w:b/>
                <w:bCs/>
                <w:lang w:eastAsia="en-GB"/>
              </w:rPr>
              <w:t>37.16</w:t>
            </w:r>
            <w:r w:rsidR="002E4007">
              <w:rPr>
                <w:rFonts w:cs="Arial"/>
                <w:b/>
                <w:bCs/>
                <w:lang w:eastAsia="en-GB"/>
              </w:rPr>
              <w:t>1</w:t>
            </w:r>
          </w:p>
        </w:tc>
        <w:tc>
          <w:tcPr>
            <w:tcW w:w="1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601EEA" w:rsidRPr="00E65B5D" w:rsidRDefault="0091448B" w:rsidP="007F74D2">
            <w:pPr>
              <w:autoSpaceDE/>
              <w:autoSpaceDN/>
              <w:adjustRightInd/>
              <w:spacing w:after="0"/>
              <w:jc w:val="center"/>
              <w:rPr>
                <w:rFonts w:cs="Arial"/>
                <w:b/>
                <w:bCs/>
                <w:lang w:eastAsia="en-GB"/>
              </w:rPr>
            </w:pPr>
            <w:r w:rsidRPr="00E65B5D">
              <w:rPr>
                <w:rFonts w:cs="Arial"/>
                <w:b/>
                <w:bCs/>
                <w:lang w:eastAsia="en-GB"/>
              </w:rPr>
              <w:t>-8.48</w:t>
            </w:r>
            <w:r w:rsidR="007F74D2">
              <w:rPr>
                <w:rFonts w:cs="Arial"/>
                <w:b/>
                <w:bCs/>
                <w:lang w:eastAsia="en-GB"/>
              </w:rPr>
              <w:t>4</w:t>
            </w:r>
          </w:p>
        </w:tc>
      </w:tr>
    </w:tbl>
    <w:p w:rsidR="00D25BD0" w:rsidRPr="00E65B5D" w:rsidRDefault="00D25BD0" w:rsidP="00D25BD0">
      <w:pPr>
        <w:tabs>
          <w:tab w:val="left" w:pos="567"/>
          <w:tab w:val="left" w:pos="1134"/>
        </w:tabs>
        <w:spacing w:after="0"/>
        <w:rPr>
          <w:rFonts w:cs="Arial"/>
        </w:rPr>
      </w:pPr>
    </w:p>
    <w:p w:rsidR="00EA5B58" w:rsidRDefault="00D25BD0" w:rsidP="00D25BD0">
      <w:pPr>
        <w:tabs>
          <w:tab w:val="left" w:pos="567"/>
          <w:tab w:val="left" w:pos="1134"/>
        </w:tabs>
        <w:spacing w:after="0"/>
        <w:rPr>
          <w:rFonts w:cs="Arial"/>
        </w:rPr>
      </w:pPr>
      <w:r>
        <w:rPr>
          <w:rFonts w:cs="Arial"/>
        </w:rPr>
        <w:t xml:space="preserve"> </w:t>
      </w:r>
    </w:p>
    <w:p w:rsidR="00932C3B" w:rsidRPr="002E3569" w:rsidRDefault="00C479C2" w:rsidP="00263676">
      <w:pPr>
        <w:tabs>
          <w:tab w:val="left" w:pos="567"/>
          <w:tab w:val="left" w:pos="1134"/>
        </w:tabs>
        <w:spacing w:after="0"/>
        <w:rPr>
          <w:rFonts w:cs="Arial"/>
        </w:rPr>
      </w:pPr>
      <w:r w:rsidRPr="002E3569">
        <w:rPr>
          <w:rFonts w:cs="Arial"/>
        </w:rPr>
        <w:t>W</w:t>
      </w:r>
      <w:r w:rsidR="00DB6C67" w:rsidRPr="002E3569">
        <w:rPr>
          <w:rFonts w:cs="Arial"/>
        </w:rPr>
        <w:t xml:space="preserve">here it has been identified that the </w:t>
      </w:r>
      <w:r w:rsidRPr="002E3569">
        <w:rPr>
          <w:rFonts w:cs="Arial"/>
        </w:rPr>
        <w:t xml:space="preserve">cost </w:t>
      </w:r>
      <w:r w:rsidR="00DB6C67" w:rsidRPr="002E3569">
        <w:rPr>
          <w:rFonts w:cs="Arial"/>
        </w:rPr>
        <w:t xml:space="preserve">pressure </w:t>
      </w:r>
      <w:r w:rsidRPr="002E3569">
        <w:rPr>
          <w:rFonts w:cs="Arial"/>
        </w:rPr>
        <w:t xml:space="preserve">or underspend </w:t>
      </w:r>
      <w:r w:rsidR="009C183C">
        <w:rPr>
          <w:rFonts w:cs="Arial"/>
        </w:rPr>
        <w:t>will continue in</w:t>
      </w:r>
      <w:r w:rsidR="00DB6C67" w:rsidRPr="002E3569">
        <w:rPr>
          <w:rFonts w:cs="Arial"/>
        </w:rPr>
        <w:t xml:space="preserve">to future years, these have been </w:t>
      </w:r>
      <w:r w:rsidR="00081179" w:rsidRPr="002E3569">
        <w:rPr>
          <w:rFonts w:cs="Arial"/>
        </w:rPr>
        <w:t>reflected in the</w:t>
      </w:r>
      <w:r w:rsidR="00DB6C67" w:rsidRPr="002E3569">
        <w:rPr>
          <w:rFonts w:cs="Arial"/>
        </w:rPr>
        <w:t xml:space="preserve"> </w:t>
      </w:r>
      <w:r w:rsidR="00920951">
        <w:rPr>
          <w:rFonts w:cs="Arial"/>
        </w:rPr>
        <w:t xml:space="preserve">updated </w:t>
      </w:r>
      <w:r w:rsidR="00DB6C67" w:rsidRPr="002E3569">
        <w:rPr>
          <w:rFonts w:cs="Arial"/>
        </w:rPr>
        <w:t xml:space="preserve">MTFS </w:t>
      </w:r>
      <w:r w:rsidR="00920951">
        <w:rPr>
          <w:rFonts w:cs="Arial"/>
        </w:rPr>
        <w:t xml:space="preserve">position </w:t>
      </w:r>
      <w:r w:rsidR="00DB6C67" w:rsidRPr="002E3569">
        <w:rPr>
          <w:rFonts w:cs="Arial"/>
        </w:rPr>
        <w:t>in this report</w:t>
      </w:r>
      <w:r w:rsidR="00081179" w:rsidRPr="002E3569">
        <w:rPr>
          <w:rFonts w:cs="Arial"/>
        </w:rPr>
        <w:t xml:space="preserve">. </w:t>
      </w:r>
      <w:r w:rsidR="003D58F1" w:rsidRPr="002E3569">
        <w:rPr>
          <w:rFonts w:cs="Arial"/>
        </w:rPr>
        <w:t xml:space="preserve"> </w:t>
      </w:r>
      <w:r w:rsidR="00081179" w:rsidRPr="002E3569">
        <w:rPr>
          <w:rFonts w:cs="Arial"/>
        </w:rPr>
        <w:t>M</w:t>
      </w:r>
      <w:r w:rsidR="00932C3B" w:rsidRPr="002E3569">
        <w:rPr>
          <w:rFonts w:cs="Arial"/>
        </w:rPr>
        <w:t xml:space="preserve">easures </w:t>
      </w:r>
      <w:r w:rsidR="00081179" w:rsidRPr="002E3569">
        <w:rPr>
          <w:rFonts w:cs="Arial"/>
        </w:rPr>
        <w:t xml:space="preserve">are being taken to minimise the </w:t>
      </w:r>
      <w:r w:rsidR="00696A7C" w:rsidRPr="002E3569">
        <w:rPr>
          <w:rFonts w:cs="Arial"/>
        </w:rPr>
        <w:t>f</w:t>
      </w:r>
      <w:r w:rsidR="00081179" w:rsidRPr="002E3569">
        <w:rPr>
          <w:rFonts w:cs="Arial"/>
        </w:rPr>
        <w:t>orecast</w:t>
      </w:r>
      <w:r w:rsidR="00932C3B" w:rsidRPr="002E3569">
        <w:rPr>
          <w:rFonts w:cs="Arial"/>
        </w:rPr>
        <w:t xml:space="preserve"> overspend</w:t>
      </w:r>
      <w:r w:rsidR="00C4517D">
        <w:rPr>
          <w:rFonts w:cs="Arial"/>
        </w:rPr>
        <w:t xml:space="preserve"> for 2015/16 .This has resulted in a reduced overspend now being reported in comparison to the first report to Cabinet which was the forecast at </w:t>
      </w:r>
      <w:r w:rsidR="00920951">
        <w:rPr>
          <w:rFonts w:cs="Arial"/>
        </w:rPr>
        <w:t>end of June</w:t>
      </w:r>
      <w:r w:rsidR="00C4517D">
        <w:rPr>
          <w:rFonts w:cs="Arial"/>
        </w:rPr>
        <w:t xml:space="preserve"> 2015.</w:t>
      </w:r>
      <w:r w:rsidR="00081179" w:rsidRPr="002E3569">
        <w:rPr>
          <w:rFonts w:cs="Arial"/>
        </w:rPr>
        <w:t xml:space="preserve"> </w:t>
      </w:r>
      <w:r w:rsidR="00C4517D">
        <w:rPr>
          <w:rFonts w:cs="Arial"/>
        </w:rPr>
        <w:t>H</w:t>
      </w:r>
      <w:r w:rsidR="00081179" w:rsidRPr="002E3569">
        <w:rPr>
          <w:rFonts w:cs="Arial"/>
        </w:rPr>
        <w:t xml:space="preserve">owever, </w:t>
      </w:r>
      <w:r w:rsidR="008321DE" w:rsidRPr="002E3569">
        <w:rPr>
          <w:rFonts w:cs="Arial"/>
        </w:rPr>
        <w:t>if</w:t>
      </w:r>
      <w:r w:rsidR="00696A7C" w:rsidRPr="002E3569">
        <w:rPr>
          <w:rFonts w:cs="Arial"/>
        </w:rPr>
        <w:t xml:space="preserve"> the </w:t>
      </w:r>
      <w:r w:rsidR="008321DE" w:rsidRPr="002E3569">
        <w:rPr>
          <w:rFonts w:cs="Arial"/>
        </w:rPr>
        <w:t xml:space="preserve">position cannot be </w:t>
      </w:r>
      <w:r w:rsidR="00920951">
        <w:rPr>
          <w:rFonts w:cs="Arial"/>
        </w:rPr>
        <w:t xml:space="preserve">fully </w:t>
      </w:r>
      <w:r w:rsidR="008321DE" w:rsidRPr="002E3569">
        <w:rPr>
          <w:rFonts w:cs="Arial"/>
        </w:rPr>
        <w:t xml:space="preserve">recovered </w:t>
      </w:r>
      <w:r w:rsidR="00696A7C" w:rsidRPr="002E3569">
        <w:rPr>
          <w:rFonts w:cs="Arial"/>
        </w:rPr>
        <w:t xml:space="preserve">then </w:t>
      </w:r>
      <w:r w:rsidR="00920951">
        <w:rPr>
          <w:rFonts w:cs="Arial"/>
        </w:rPr>
        <w:t xml:space="preserve">any overspend </w:t>
      </w:r>
      <w:r w:rsidR="00696A7C" w:rsidRPr="002E3569">
        <w:rPr>
          <w:rFonts w:cs="Arial"/>
        </w:rPr>
        <w:t>will need to be funded by a contribution from reserves</w:t>
      </w:r>
      <w:r w:rsidR="00932C3B" w:rsidRPr="002E3569">
        <w:rPr>
          <w:rFonts w:cs="Arial"/>
        </w:rPr>
        <w:t>.</w:t>
      </w:r>
    </w:p>
    <w:p w:rsidR="007F3C40" w:rsidRDefault="007F3C40">
      <w:pPr>
        <w:tabs>
          <w:tab w:val="left" w:pos="567"/>
          <w:tab w:val="left" w:pos="1134"/>
        </w:tabs>
        <w:spacing w:after="0"/>
        <w:rPr>
          <w:rFonts w:cs="Arial"/>
        </w:rPr>
      </w:pPr>
    </w:p>
    <w:p w:rsidR="00D94092" w:rsidRPr="002E3569" w:rsidRDefault="00E644C2" w:rsidP="007F3C40">
      <w:pPr>
        <w:tabs>
          <w:tab w:val="left" w:pos="567"/>
          <w:tab w:val="left" w:pos="1134"/>
        </w:tabs>
        <w:spacing w:after="0"/>
        <w:rPr>
          <w:rFonts w:cs="Arial"/>
          <w:highlight w:val="green"/>
        </w:rPr>
      </w:pPr>
      <w:r>
        <w:rPr>
          <w:rFonts w:cs="Arial"/>
        </w:rPr>
        <w:t xml:space="preserve">The assumptions made in the original MTFS have been reviewed and been updated to reflect the latest information </w:t>
      </w:r>
      <w:r w:rsidRPr="00622095">
        <w:rPr>
          <w:rFonts w:cs="Arial"/>
        </w:rPr>
        <w:t>a</w:t>
      </w:r>
      <w:r>
        <w:rPr>
          <w:rFonts w:cs="Arial"/>
        </w:rPr>
        <w:t xml:space="preserve">vailable.  The </w:t>
      </w:r>
      <w:r w:rsidRPr="00622095">
        <w:rPr>
          <w:rFonts w:cs="Arial"/>
        </w:rPr>
        <w:t xml:space="preserve">revised forecast funding gap </w:t>
      </w:r>
      <w:r>
        <w:rPr>
          <w:rFonts w:cs="Arial"/>
        </w:rPr>
        <w:t>is now</w:t>
      </w:r>
      <w:r w:rsidRPr="00622095">
        <w:rPr>
          <w:rFonts w:cs="Arial"/>
        </w:rPr>
        <w:t xml:space="preserve"> </w:t>
      </w:r>
      <w:r w:rsidR="00920951">
        <w:rPr>
          <w:rFonts w:cs="Arial"/>
        </w:rPr>
        <w:t xml:space="preserve">estimated to be </w:t>
      </w:r>
      <w:r w:rsidRPr="00622095">
        <w:rPr>
          <w:rFonts w:cs="Arial"/>
        </w:rPr>
        <w:t>£</w:t>
      </w:r>
      <w:r w:rsidR="00BE3503">
        <w:rPr>
          <w:rFonts w:cs="Arial"/>
        </w:rPr>
        <w:t>26</w:t>
      </w:r>
      <w:r w:rsidR="00B77473">
        <w:rPr>
          <w:rFonts w:cs="Arial"/>
        </w:rPr>
        <w:t>2</w:t>
      </w:r>
      <w:r w:rsidR="00BE3503">
        <w:rPr>
          <w:rFonts w:cs="Arial"/>
        </w:rPr>
        <w:t>.</w:t>
      </w:r>
      <w:r w:rsidR="00B77473">
        <w:rPr>
          <w:rFonts w:cs="Arial"/>
        </w:rPr>
        <w:t>0</w:t>
      </w:r>
      <w:r w:rsidRPr="00622095">
        <w:rPr>
          <w:rFonts w:cs="Arial"/>
        </w:rPr>
        <w:t>m by 2020/21</w:t>
      </w:r>
      <w:r w:rsidR="007A796C">
        <w:rPr>
          <w:rFonts w:cs="Arial"/>
        </w:rPr>
        <w:t xml:space="preserve"> </w:t>
      </w:r>
      <w:r w:rsidR="005406C3" w:rsidRPr="00622095">
        <w:rPr>
          <w:rFonts w:cs="Arial"/>
        </w:rPr>
        <w:t>and an aggregated total of una</w:t>
      </w:r>
      <w:r w:rsidR="00CB1B68">
        <w:rPr>
          <w:rFonts w:cs="Arial"/>
        </w:rPr>
        <w:t>vailable resources of £</w:t>
      </w:r>
      <w:r w:rsidR="003A3409">
        <w:rPr>
          <w:rFonts w:cs="Arial"/>
        </w:rPr>
        <w:t>848.1</w:t>
      </w:r>
      <w:r w:rsidR="00871AAD" w:rsidRPr="00622095">
        <w:rPr>
          <w:rFonts w:cs="Arial"/>
        </w:rPr>
        <w:t xml:space="preserve">m </w:t>
      </w:r>
      <w:r w:rsidR="005406C3" w:rsidRPr="00622095">
        <w:rPr>
          <w:rFonts w:cs="Arial"/>
        </w:rPr>
        <w:t>across the five year period</w:t>
      </w:r>
      <w:r w:rsidR="00DF4ECD" w:rsidRPr="00622095">
        <w:rPr>
          <w:rFonts w:cs="Arial"/>
        </w:rPr>
        <w:t xml:space="preserve"> </w:t>
      </w:r>
      <w:r w:rsidR="005406C3" w:rsidRPr="00622095">
        <w:rPr>
          <w:rFonts w:cs="Arial"/>
        </w:rPr>
        <w:t>(</w:t>
      </w:r>
      <w:r w:rsidR="00DF4ECD" w:rsidRPr="00622095">
        <w:rPr>
          <w:rFonts w:cs="Arial"/>
        </w:rPr>
        <w:t xml:space="preserve">as </w:t>
      </w:r>
      <w:r w:rsidR="005406C3" w:rsidRPr="00622095">
        <w:rPr>
          <w:rFonts w:cs="Arial"/>
        </w:rPr>
        <w:t xml:space="preserve">illustrated </w:t>
      </w:r>
      <w:r w:rsidR="00DF4ECD" w:rsidRPr="00622095">
        <w:rPr>
          <w:rFonts w:cs="Arial"/>
        </w:rPr>
        <w:t>below</w:t>
      </w:r>
      <w:r w:rsidR="005406C3" w:rsidRPr="00622095">
        <w:rPr>
          <w:rFonts w:cs="Arial"/>
        </w:rPr>
        <w:t>)</w:t>
      </w:r>
      <w:r w:rsidR="00E559FA" w:rsidRPr="00622095">
        <w:rPr>
          <w:rFonts w:cs="Arial"/>
        </w:rPr>
        <w:t>:</w:t>
      </w:r>
    </w:p>
    <w:p w:rsidR="00932C3B" w:rsidRPr="002E3569" w:rsidRDefault="00932C3B" w:rsidP="003D58F1">
      <w:pPr>
        <w:tabs>
          <w:tab w:val="left" w:pos="567"/>
          <w:tab w:val="left" w:pos="1134"/>
        </w:tabs>
        <w:spacing w:after="0"/>
        <w:rPr>
          <w:rFonts w:cs="Arial"/>
          <w:highlight w:val="green"/>
        </w:rPr>
      </w:pPr>
    </w:p>
    <w:tbl>
      <w:tblPr>
        <w:tblStyle w:val="TableGrid"/>
        <w:tblW w:w="9209" w:type="dxa"/>
        <w:tblLook w:val="04A0" w:firstRow="1" w:lastRow="0" w:firstColumn="1" w:lastColumn="0" w:noHBand="0" w:noVBand="1"/>
      </w:tblPr>
      <w:tblGrid>
        <w:gridCol w:w="2895"/>
        <w:gridCol w:w="1084"/>
        <w:gridCol w:w="1084"/>
        <w:gridCol w:w="1084"/>
        <w:gridCol w:w="1084"/>
        <w:gridCol w:w="1084"/>
        <w:gridCol w:w="894"/>
      </w:tblGrid>
      <w:tr w:rsidR="00081179" w:rsidRPr="009D070D" w:rsidTr="009D070D">
        <w:trPr>
          <w:trHeight w:val="270"/>
        </w:trPr>
        <w:tc>
          <w:tcPr>
            <w:tcW w:w="0" w:type="auto"/>
            <w:tcBorders>
              <w:bottom w:val="nil"/>
            </w:tcBorders>
            <w:shd w:val="clear" w:color="auto" w:fill="BFBFBF" w:themeFill="background1" w:themeFillShade="BF"/>
          </w:tcPr>
          <w:p w:rsidR="00081179" w:rsidRPr="009D070D" w:rsidRDefault="00081179" w:rsidP="003D58F1">
            <w:pPr>
              <w:tabs>
                <w:tab w:val="left" w:pos="567"/>
                <w:tab w:val="left" w:pos="1134"/>
              </w:tabs>
              <w:spacing w:after="0"/>
              <w:rPr>
                <w:rFonts w:cs="Arial"/>
                <w:highlight w:val="green"/>
              </w:rPr>
            </w:pPr>
          </w:p>
        </w:tc>
        <w:tc>
          <w:tcPr>
            <w:tcW w:w="0" w:type="auto"/>
            <w:tcBorders>
              <w:bottom w:val="nil"/>
            </w:tcBorders>
            <w:shd w:val="clear" w:color="auto" w:fill="BFBFBF" w:themeFill="background1" w:themeFillShade="BF"/>
          </w:tcPr>
          <w:p w:rsidR="00081179" w:rsidRPr="009D070D" w:rsidRDefault="00DB6C67" w:rsidP="000112C8">
            <w:pPr>
              <w:spacing w:after="0"/>
              <w:jc w:val="center"/>
              <w:rPr>
                <w:rFonts w:cs="Arial"/>
                <w:b/>
              </w:rPr>
            </w:pPr>
            <w:r w:rsidRPr="009D070D">
              <w:rPr>
                <w:rFonts w:cs="Arial"/>
                <w:b/>
              </w:rPr>
              <w:t>20</w:t>
            </w:r>
            <w:r w:rsidR="00081179" w:rsidRPr="009D070D">
              <w:rPr>
                <w:rFonts w:cs="Arial"/>
                <w:b/>
              </w:rPr>
              <w:t>16</w:t>
            </w:r>
            <w:r w:rsidRPr="009D070D">
              <w:rPr>
                <w:rFonts w:cs="Arial"/>
                <w:b/>
              </w:rPr>
              <w:t>/</w:t>
            </w:r>
            <w:r w:rsidR="00081179" w:rsidRPr="009D070D">
              <w:rPr>
                <w:rFonts w:cs="Arial"/>
                <w:b/>
              </w:rPr>
              <w:t>17</w:t>
            </w:r>
          </w:p>
        </w:tc>
        <w:tc>
          <w:tcPr>
            <w:tcW w:w="0" w:type="auto"/>
            <w:tcBorders>
              <w:bottom w:val="nil"/>
            </w:tcBorders>
            <w:shd w:val="clear" w:color="auto" w:fill="BFBFBF" w:themeFill="background1" w:themeFillShade="BF"/>
            <w:vAlign w:val="center"/>
          </w:tcPr>
          <w:p w:rsidR="00081179" w:rsidRPr="009D070D" w:rsidRDefault="00081179" w:rsidP="000112C8">
            <w:pPr>
              <w:spacing w:after="0"/>
              <w:jc w:val="center"/>
              <w:rPr>
                <w:rFonts w:cs="Arial"/>
                <w:b/>
              </w:rPr>
            </w:pPr>
            <w:r w:rsidRPr="009D070D">
              <w:rPr>
                <w:rFonts w:cs="Arial"/>
                <w:b/>
              </w:rPr>
              <w:t>2017/18</w:t>
            </w:r>
          </w:p>
        </w:tc>
        <w:tc>
          <w:tcPr>
            <w:tcW w:w="0" w:type="auto"/>
            <w:tcBorders>
              <w:bottom w:val="nil"/>
            </w:tcBorders>
            <w:shd w:val="clear" w:color="auto" w:fill="BFBFBF" w:themeFill="background1" w:themeFillShade="BF"/>
            <w:vAlign w:val="center"/>
          </w:tcPr>
          <w:p w:rsidR="00081179" w:rsidRPr="009D070D" w:rsidRDefault="00081179" w:rsidP="000112C8">
            <w:pPr>
              <w:spacing w:after="0"/>
              <w:jc w:val="center"/>
              <w:rPr>
                <w:rFonts w:cs="Arial"/>
                <w:b/>
              </w:rPr>
            </w:pPr>
            <w:r w:rsidRPr="009D070D">
              <w:rPr>
                <w:rFonts w:cs="Arial"/>
                <w:b/>
              </w:rPr>
              <w:t>2018/19</w:t>
            </w:r>
          </w:p>
        </w:tc>
        <w:tc>
          <w:tcPr>
            <w:tcW w:w="0" w:type="auto"/>
            <w:tcBorders>
              <w:bottom w:val="nil"/>
            </w:tcBorders>
            <w:shd w:val="clear" w:color="auto" w:fill="BFBFBF" w:themeFill="background1" w:themeFillShade="BF"/>
            <w:vAlign w:val="center"/>
          </w:tcPr>
          <w:p w:rsidR="00081179" w:rsidRPr="009D070D" w:rsidRDefault="00081179" w:rsidP="000112C8">
            <w:pPr>
              <w:spacing w:after="0"/>
              <w:jc w:val="center"/>
              <w:rPr>
                <w:rFonts w:cs="Arial"/>
                <w:b/>
              </w:rPr>
            </w:pPr>
            <w:r w:rsidRPr="009D070D">
              <w:rPr>
                <w:rFonts w:cs="Arial"/>
                <w:b/>
              </w:rPr>
              <w:t>2019/20</w:t>
            </w:r>
          </w:p>
        </w:tc>
        <w:tc>
          <w:tcPr>
            <w:tcW w:w="0" w:type="auto"/>
            <w:tcBorders>
              <w:bottom w:val="nil"/>
            </w:tcBorders>
            <w:shd w:val="clear" w:color="auto" w:fill="BFBFBF" w:themeFill="background1" w:themeFillShade="BF"/>
            <w:vAlign w:val="center"/>
          </w:tcPr>
          <w:p w:rsidR="00081179" w:rsidRPr="009D070D" w:rsidRDefault="00081179" w:rsidP="000112C8">
            <w:pPr>
              <w:spacing w:after="0"/>
              <w:jc w:val="center"/>
              <w:rPr>
                <w:rFonts w:cs="Arial"/>
                <w:b/>
              </w:rPr>
            </w:pPr>
            <w:r w:rsidRPr="009D070D">
              <w:rPr>
                <w:rFonts w:cs="Arial"/>
                <w:b/>
              </w:rPr>
              <w:t>2020/21</w:t>
            </w:r>
          </w:p>
        </w:tc>
        <w:tc>
          <w:tcPr>
            <w:tcW w:w="894" w:type="dxa"/>
            <w:tcBorders>
              <w:bottom w:val="nil"/>
            </w:tcBorders>
            <w:shd w:val="clear" w:color="auto" w:fill="BFBFBF" w:themeFill="background1" w:themeFillShade="BF"/>
            <w:vAlign w:val="center"/>
          </w:tcPr>
          <w:p w:rsidR="00081179" w:rsidRPr="009D070D" w:rsidRDefault="007F3C40" w:rsidP="000112C8">
            <w:pPr>
              <w:spacing w:after="0"/>
              <w:jc w:val="center"/>
              <w:rPr>
                <w:rFonts w:cs="Arial"/>
                <w:b/>
              </w:rPr>
            </w:pPr>
            <w:r w:rsidRPr="009D070D">
              <w:rPr>
                <w:rFonts w:cs="Arial"/>
                <w:b/>
              </w:rPr>
              <w:t>Total</w:t>
            </w:r>
          </w:p>
        </w:tc>
      </w:tr>
      <w:tr w:rsidR="00081179" w:rsidRPr="009D070D" w:rsidTr="009D070D">
        <w:trPr>
          <w:trHeight w:val="150"/>
        </w:trPr>
        <w:tc>
          <w:tcPr>
            <w:tcW w:w="0" w:type="auto"/>
            <w:tcBorders>
              <w:top w:val="nil"/>
              <w:bottom w:val="single" w:sz="4" w:space="0" w:color="auto"/>
            </w:tcBorders>
            <w:shd w:val="clear" w:color="auto" w:fill="BFBFBF" w:themeFill="background1" w:themeFillShade="BF"/>
          </w:tcPr>
          <w:p w:rsidR="00081179" w:rsidRPr="009D070D" w:rsidRDefault="00081179" w:rsidP="003D58F1">
            <w:pPr>
              <w:tabs>
                <w:tab w:val="left" w:pos="567"/>
                <w:tab w:val="left" w:pos="1134"/>
              </w:tabs>
              <w:spacing w:after="0"/>
              <w:rPr>
                <w:rFonts w:cs="Arial"/>
              </w:rPr>
            </w:pPr>
          </w:p>
        </w:tc>
        <w:tc>
          <w:tcPr>
            <w:tcW w:w="0" w:type="auto"/>
            <w:tcBorders>
              <w:top w:val="nil"/>
              <w:bottom w:val="single" w:sz="4" w:space="0" w:color="auto"/>
            </w:tcBorders>
            <w:shd w:val="clear" w:color="auto" w:fill="BFBFBF" w:themeFill="background1" w:themeFillShade="BF"/>
          </w:tcPr>
          <w:p w:rsidR="00081179" w:rsidRPr="009D070D" w:rsidRDefault="00081179" w:rsidP="003D58F1">
            <w:pPr>
              <w:spacing w:after="0"/>
              <w:jc w:val="center"/>
              <w:rPr>
                <w:rFonts w:cs="Arial"/>
                <w:b/>
              </w:rPr>
            </w:pPr>
            <w:r w:rsidRPr="009D070D">
              <w:rPr>
                <w:rFonts w:cs="Arial"/>
                <w:b/>
              </w:rPr>
              <w:t>£m</w:t>
            </w:r>
          </w:p>
        </w:tc>
        <w:tc>
          <w:tcPr>
            <w:tcW w:w="0" w:type="auto"/>
            <w:tcBorders>
              <w:top w:val="nil"/>
              <w:bottom w:val="single" w:sz="4" w:space="0" w:color="auto"/>
            </w:tcBorders>
            <w:shd w:val="clear" w:color="auto" w:fill="BFBFBF" w:themeFill="background1" w:themeFillShade="BF"/>
            <w:vAlign w:val="center"/>
          </w:tcPr>
          <w:p w:rsidR="00081179" w:rsidRPr="009D070D" w:rsidRDefault="00081179" w:rsidP="003D58F1">
            <w:pPr>
              <w:spacing w:after="0"/>
              <w:jc w:val="center"/>
              <w:rPr>
                <w:rFonts w:cs="Arial"/>
                <w:b/>
              </w:rPr>
            </w:pPr>
            <w:r w:rsidRPr="009D070D">
              <w:rPr>
                <w:rFonts w:cs="Arial"/>
                <w:b/>
              </w:rPr>
              <w:t>£m</w:t>
            </w:r>
          </w:p>
        </w:tc>
        <w:tc>
          <w:tcPr>
            <w:tcW w:w="0" w:type="auto"/>
            <w:tcBorders>
              <w:top w:val="nil"/>
              <w:bottom w:val="single" w:sz="4" w:space="0" w:color="auto"/>
            </w:tcBorders>
            <w:shd w:val="clear" w:color="auto" w:fill="BFBFBF" w:themeFill="background1" w:themeFillShade="BF"/>
            <w:vAlign w:val="center"/>
          </w:tcPr>
          <w:p w:rsidR="00081179" w:rsidRPr="009D070D" w:rsidRDefault="00081179" w:rsidP="003D58F1">
            <w:pPr>
              <w:spacing w:after="0"/>
              <w:jc w:val="center"/>
              <w:rPr>
                <w:rFonts w:cs="Arial"/>
                <w:b/>
              </w:rPr>
            </w:pPr>
            <w:r w:rsidRPr="009D070D">
              <w:rPr>
                <w:rFonts w:cs="Arial"/>
                <w:b/>
              </w:rPr>
              <w:t>£m</w:t>
            </w:r>
          </w:p>
        </w:tc>
        <w:tc>
          <w:tcPr>
            <w:tcW w:w="0" w:type="auto"/>
            <w:tcBorders>
              <w:top w:val="nil"/>
              <w:bottom w:val="single" w:sz="4" w:space="0" w:color="auto"/>
            </w:tcBorders>
            <w:shd w:val="clear" w:color="auto" w:fill="BFBFBF" w:themeFill="background1" w:themeFillShade="BF"/>
            <w:vAlign w:val="center"/>
          </w:tcPr>
          <w:p w:rsidR="00081179" w:rsidRPr="009D070D" w:rsidRDefault="00081179" w:rsidP="003D58F1">
            <w:pPr>
              <w:spacing w:after="0"/>
              <w:jc w:val="center"/>
              <w:rPr>
                <w:rFonts w:cs="Arial"/>
                <w:b/>
              </w:rPr>
            </w:pPr>
            <w:r w:rsidRPr="009D070D">
              <w:rPr>
                <w:rFonts w:cs="Arial"/>
                <w:b/>
              </w:rPr>
              <w:t>£m</w:t>
            </w:r>
          </w:p>
        </w:tc>
        <w:tc>
          <w:tcPr>
            <w:tcW w:w="0" w:type="auto"/>
            <w:tcBorders>
              <w:top w:val="nil"/>
              <w:bottom w:val="single" w:sz="4" w:space="0" w:color="auto"/>
            </w:tcBorders>
            <w:shd w:val="clear" w:color="auto" w:fill="BFBFBF" w:themeFill="background1" w:themeFillShade="BF"/>
            <w:vAlign w:val="center"/>
          </w:tcPr>
          <w:p w:rsidR="00081179" w:rsidRPr="009D070D" w:rsidRDefault="00081179" w:rsidP="003D58F1">
            <w:pPr>
              <w:spacing w:after="0"/>
              <w:jc w:val="center"/>
              <w:rPr>
                <w:rFonts w:cs="Arial"/>
                <w:b/>
              </w:rPr>
            </w:pPr>
            <w:r w:rsidRPr="009D070D">
              <w:rPr>
                <w:rFonts w:cs="Arial"/>
                <w:b/>
              </w:rPr>
              <w:t>£m</w:t>
            </w:r>
          </w:p>
        </w:tc>
        <w:tc>
          <w:tcPr>
            <w:tcW w:w="894" w:type="dxa"/>
            <w:tcBorders>
              <w:top w:val="nil"/>
              <w:bottom w:val="single" w:sz="4" w:space="0" w:color="auto"/>
            </w:tcBorders>
            <w:shd w:val="clear" w:color="auto" w:fill="BFBFBF" w:themeFill="background1" w:themeFillShade="BF"/>
            <w:vAlign w:val="center"/>
          </w:tcPr>
          <w:p w:rsidR="00081179" w:rsidRPr="009D070D" w:rsidRDefault="00122E8D" w:rsidP="003D58F1">
            <w:pPr>
              <w:spacing w:after="0"/>
              <w:jc w:val="center"/>
              <w:rPr>
                <w:rFonts w:cs="Arial"/>
                <w:b/>
              </w:rPr>
            </w:pPr>
            <w:r w:rsidRPr="009D070D">
              <w:rPr>
                <w:rFonts w:cs="Arial"/>
                <w:b/>
              </w:rPr>
              <w:t>£m</w:t>
            </w:r>
          </w:p>
        </w:tc>
      </w:tr>
      <w:tr w:rsidR="00081179" w:rsidRPr="009D070D" w:rsidTr="00122E8D">
        <w:trPr>
          <w:trHeight w:val="285"/>
        </w:trPr>
        <w:tc>
          <w:tcPr>
            <w:tcW w:w="0" w:type="auto"/>
            <w:tcBorders>
              <w:top w:val="single" w:sz="4" w:space="0" w:color="auto"/>
              <w:bottom w:val="nil"/>
            </w:tcBorders>
          </w:tcPr>
          <w:p w:rsidR="009D070D" w:rsidRDefault="009D070D" w:rsidP="003D58F1">
            <w:pPr>
              <w:tabs>
                <w:tab w:val="left" w:pos="567"/>
                <w:tab w:val="left" w:pos="1134"/>
              </w:tabs>
              <w:spacing w:after="0"/>
              <w:rPr>
                <w:rFonts w:cs="Arial"/>
              </w:rPr>
            </w:pPr>
          </w:p>
          <w:p w:rsidR="00081179" w:rsidRDefault="00DF4ECD" w:rsidP="003D58F1">
            <w:pPr>
              <w:tabs>
                <w:tab w:val="left" w:pos="567"/>
                <w:tab w:val="left" w:pos="1134"/>
              </w:tabs>
              <w:spacing w:after="0"/>
              <w:rPr>
                <w:rFonts w:cs="Arial"/>
              </w:rPr>
            </w:pPr>
            <w:r w:rsidRPr="009D070D">
              <w:rPr>
                <w:rFonts w:cs="Arial"/>
              </w:rPr>
              <w:t>E</w:t>
            </w:r>
            <w:r w:rsidR="00081179" w:rsidRPr="009D070D">
              <w:rPr>
                <w:rFonts w:cs="Arial"/>
              </w:rPr>
              <w:t>xpenditure</w:t>
            </w:r>
          </w:p>
          <w:p w:rsidR="009D070D" w:rsidRPr="009D070D" w:rsidRDefault="009D070D" w:rsidP="003D58F1">
            <w:pPr>
              <w:tabs>
                <w:tab w:val="left" w:pos="567"/>
                <w:tab w:val="left" w:pos="1134"/>
              </w:tabs>
              <w:spacing w:after="0"/>
              <w:rPr>
                <w:rFonts w:cs="Arial"/>
              </w:rPr>
            </w:pPr>
          </w:p>
        </w:tc>
        <w:tc>
          <w:tcPr>
            <w:tcW w:w="0" w:type="auto"/>
            <w:tcBorders>
              <w:top w:val="single" w:sz="4" w:space="0" w:color="auto"/>
              <w:bottom w:val="nil"/>
            </w:tcBorders>
            <w:vAlign w:val="center"/>
          </w:tcPr>
          <w:p w:rsidR="00081179" w:rsidRPr="009D070D" w:rsidRDefault="008D321F" w:rsidP="001E61E6">
            <w:pPr>
              <w:tabs>
                <w:tab w:val="left" w:pos="567"/>
                <w:tab w:val="left" w:pos="1134"/>
              </w:tabs>
              <w:spacing w:after="0"/>
              <w:jc w:val="center"/>
              <w:rPr>
                <w:rFonts w:cs="Arial"/>
              </w:rPr>
            </w:pPr>
            <w:r>
              <w:rPr>
                <w:rFonts w:cs="Arial"/>
              </w:rPr>
              <w:t>81</w:t>
            </w:r>
            <w:r w:rsidR="001E61E6">
              <w:rPr>
                <w:rFonts w:cs="Arial"/>
              </w:rPr>
              <w:t>2</w:t>
            </w:r>
            <w:r>
              <w:rPr>
                <w:rFonts w:cs="Arial"/>
              </w:rPr>
              <w:t>.5</w:t>
            </w:r>
          </w:p>
        </w:tc>
        <w:tc>
          <w:tcPr>
            <w:tcW w:w="0" w:type="auto"/>
            <w:tcBorders>
              <w:top w:val="single" w:sz="4" w:space="0" w:color="auto"/>
              <w:bottom w:val="nil"/>
            </w:tcBorders>
            <w:vAlign w:val="center"/>
          </w:tcPr>
          <w:p w:rsidR="00081179" w:rsidRPr="009D070D" w:rsidRDefault="007D74EE" w:rsidP="001E61E6">
            <w:pPr>
              <w:tabs>
                <w:tab w:val="left" w:pos="567"/>
                <w:tab w:val="left" w:pos="1134"/>
              </w:tabs>
              <w:spacing w:after="0"/>
              <w:jc w:val="center"/>
              <w:rPr>
                <w:rFonts w:cs="Arial"/>
              </w:rPr>
            </w:pPr>
            <w:r>
              <w:rPr>
                <w:rFonts w:cs="Arial"/>
              </w:rPr>
              <w:t>75</w:t>
            </w:r>
            <w:r w:rsidR="001E61E6">
              <w:rPr>
                <w:rFonts w:cs="Arial"/>
              </w:rPr>
              <w:t>3</w:t>
            </w:r>
            <w:r>
              <w:rPr>
                <w:rFonts w:cs="Arial"/>
              </w:rPr>
              <w:t>.6</w:t>
            </w:r>
          </w:p>
        </w:tc>
        <w:tc>
          <w:tcPr>
            <w:tcW w:w="0" w:type="auto"/>
            <w:tcBorders>
              <w:top w:val="single" w:sz="4" w:space="0" w:color="auto"/>
              <w:bottom w:val="nil"/>
            </w:tcBorders>
            <w:vAlign w:val="center"/>
          </w:tcPr>
          <w:p w:rsidR="00081179" w:rsidRPr="009D070D" w:rsidRDefault="00FA3B79" w:rsidP="00271E25">
            <w:pPr>
              <w:tabs>
                <w:tab w:val="left" w:pos="567"/>
                <w:tab w:val="left" w:pos="1134"/>
              </w:tabs>
              <w:spacing w:after="0"/>
              <w:jc w:val="center"/>
              <w:rPr>
                <w:rFonts w:cs="Arial"/>
              </w:rPr>
            </w:pPr>
            <w:r w:rsidRPr="009D070D">
              <w:rPr>
                <w:rFonts w:cs="Arial"/>
              </w:rPr>
              <w:t>72</w:t>
            </w:r>
            <w:r w:rsidR="00271E25" w:rsidRPr="009D070D">
              <w:rPr>
                <w:rFonts w:cs="Arial"/>
              </w:rPr>
              <w:t>5</w:t>
            </w:r>
            <w:r w:rsidRPr="009D070D">
              <w:rPr>
                <w:rFonts w:cs="Arial"/>
              </w:rPr>
              <w:t>.0</w:t>
            </w:r>
          </w:p>
        </w:tc>
        <w:tc>
          <w:tcPr>
            <w:tcW w:w="0" w:type="auto"/>
            <w:tcBorders>
              <w:top w:val="single" w:sz="4" w:space="0" w:color="auto"/>
              <w:bottom w:val="nil"/>
            </w:tcBorders>
            <w:vAlign w:val="center"/>
          </w:tcPr>
          <w:p w:rsidR="00081179" w:rsidRPr="009D070D" w:rsidRDefault="003E4C70" w:rsidP="002A03A8">
            <w:pPr>
              <w:tabs>
                <w:tab w:val="left" w:pos="567"/>
                <w:tab w:val="left" w:pos="1134"/>
              </w:tabs>
              <w:spacing w:after="0"/>
              <w:jc w:val="center"/>
              <w:rPr>
                <w:rFonts w:cs="Arial"/>
              </w:rPr>
            </w:pPr>
            <w:r>
              <w:rPr>
                <w:rFonts w:cs="Arial"/>
              </w:rPr>
              <w:t>711.4</w:t>
            </w:r>
          </w:p>
        </w:tc>
        <w:tc>
          <w:tcPr>
            <w:tcW w:w="0" w:type="auto"/>
            <w:tcBorders>
              <w:top w:val="single" w:sz="4" w:space="0" w:color="auto"/>
              <w:bottom w:val="nil"/>
            </w:tcBorders>
            <w:vAlign w:val="center"/>
          </w:tcPr>
          <w:p w:rsidR="00081179" w:rsidRPr="009D070D" w:rsidRDefault="00FA3B79" w:rsidP="00E61A7C">
            <w:pPr>
              <w:tabs>
                <w:tab w:val="left" w:pos="567"/>
                <w:tab w:val="left" w:pos="1134"/>
              </w:tabs>
              <w:spacing w:after="0"/>
              <w:jc w:val="center"/>
              <w:rPr>
                <w:rFonts w:cs="Arial"/>
              </w:rPr>
            </w:pPr>
            <w:r w:rsidRPr="009D070D">
              <w:rPr>
                <w:rFonts w:cs="Arial"/>
              </w:rPr>
              <w:t>710.</w:t>
            </w:r>
            <w:r w:rsidR="00E61A7C" w:rsidRPr="009D070D">
              <w:rPr>
                <w:rFonts w:cs="Arial"/>
              </w:rPr>
              <w:t>2</w:t>
            </w:r>
          </w:p>
        </w:tc>
        <w:tc>
          <w:tcPr>
            <w:tcW w:w="894" w:type="dxa"/>
            <w:tcBorders>
              <w:top w:val="single" w:sz="4" w:space="0" w:color="auto"/>
              <w:bottom w:val="nil"/>
            </w:tcBorders>
            <w:vAlign w:val="center"/>
          </w:tcPr>
          <w:p w:rsidR="00081179" w:rsidRPr="009D070D" w:rsidRDefault="00081179" w:rsidP="002A03A8">
            <w:pPr>
              <w:tabs>
                <w:tab w:val="left" w:pos="567"/>
                <w:tab w:val="left" w:pos="1134"/>
              </w:tabs>
              <w:spacing w:after="0"/>
              <w:jc w:val="center"/>
              <w:rPr>
                <w:rFonts w:cs="Arial"/>
              </w:rPr>
            </w:pPr>
          </w:p>
        </w:tc>
      </w:tr>
      <w:tr w:rsidR="00696E0F" w:rsidRPr="009D070D" w:rsidTr="00122E8D">
        <w:trPr>
          <w:trHeight w:val="270"/>
        </w:trPr>
        <w:tc>
          <w:tcPr>
            <w:tcW w:w="0" w:type="auto"/>
            <w:tcBorders>
              <w:bottom w:val="single" w:sz="4" w:space="0" w:color="auto"/>
            </w:tcBorders>
          </w:tcPr>
          <w:p w:rsidR="00696E0F" w:rsidRPr="009D070D" w:rsidRDefault="00696E0F" w:rsidP="003D58F1">
            <w:pPr>
              <w:tabs>
                <w:tab w:val="left" w:pos="567"/>
                <w:tab w:val="left" w:pos="1134"/>
              </w:tabs>
              <w:spacing w:after="0"/>
              <w:rPr>
                <w:rFonts w:cs="Arial"/>
              </w:rPr>
            </w:pPr>
            <w:r w:rsidRPr="009D070D">
              <w:rPr>
                <w:rFonts w:cs="Arial"/>
              </w:rPr>
              <w:t>Revised savings set out in prior year budget reports</w:t>
            </w:r>
          </w:p>
        </w:tc>
        <w:tc>
          <w:tcPr>
            <w:tcW w:w="0" w:type="auto"/>
            <w:tcBorders>
              <w:bottom w:val="single" w:sz="4" w:space="0" w:color="auto"/>
            </w:tcBorders>
            <w:vAlign w:val="center"/>
          </w:tcPr>
          <w:p w:rsidR="00696E0F" w:rsidRPr="008D321F" w:rsidRDefault="0018449A" w:rsidP="008D321F">
            <w:pPr>
              <w:tabs>
                <w:tab w:val="left" w:pos="567"/>
                <w:tab w:val="left" w:pos="1134"/>
              </w:tabs>
              <w:spacing w:after="0"/>
              <w:jc w:val="center"/>
              <w:rPr>
                <w:rFonts w:cs="Arial"/>
              </w:rPr>
            </w:pPr>
            <w:r w:rsidRPr="008D321F">
              <w:rPr>
                <w:rFonts w:cs="Arial"/>
              </w:rPr>
              <w:t>-</w:t>
            </w:r>
            <w:r w:rsidR="008D321F" w:rsidRPr="008D321F">
              <w:rPr>
                <w:rFonts w:cs="Arial"/>
              </w:rPr>
              <w:t>1</w:t>
            </w:r>
            <w:r w:rsidRPr="008D321F">
              <w:rPr>
                <w:rFonts w:cs="Arial"/>
              </w:rPr>
              <w:t>7.</w:t>
            </w:r>
            <w:r w:rsidR="008D321F" w:rsidRPr="008D321F">
              <w:rPr>
                <w:rFonts w:cs="Arial"/>
              </w:rPr>
              <w:t>3</w:t>
            </w:r>
          </w:p>
        </w:tc>
        <w:tc>
          <w:tcPr>
            <w:tcW w:w="0" w:type="auto"/>
            <w:tcBorders>
              <w:bottom w:val="single" w:sz="4" w:space="0" w:color="auto"/>
            </w:tcBorders>
            <w:vAlign w:val="center"/>
          </w:tcPr>
          <w:p w:rsidR="00696E0F" w:rsidRPr="008D321F" w:rsidRDefault="008D321F" w:rsidP="007D74EE">
            <w:pPr>
              <w:tabs>
                <w:tab w:val="left" w:pos="567"/>
                <w:tab w:val="left" w:pos="1134"/>
              </w:tabs>
              <w:spacing w:after="0"/>
              <w:rPr>
                <w:rFonts w:cs="Arial"/>
              </w:rPr>
            </w:pPr>
            <w:r>
              <w:rPr>
                <w:rFonts w:cs="Arial"/>
              </w:rPr>
              <w:t xml:space="preserve">   </w:t>
            </w:r>
            <w:r w:rsidR="0018449A" w:rsidRPr="008D321F">
              <w:rPr>
                <w:rFonts w:cs="Arial"/>
              </w:rPr>
              <w:t>-</w:t>
            </w:r>
            <w:r w:rsidR="007D74EE">
              <w:rPr>
                <w:rFonts w:cs="Arial"/>
              </w:rPr>
              <w:t>47.5</w:t>
            </w:r>
          </w:p>
        </w:tc>
        <w:tc>
          <w:tcPr>
            <w:tcW w:w="0" w:type="auto"/>
            <w:tcBorders>
              <w:bottom w:val="single" w:sz="4" w:space="0" w:color="auto"/>
            </w:tcBorders>
            <w:vAlign w:val="center"/>
          </w:tcPr>
          <w:p w:rsidR="00696E0F" w:rsidRPr="009D070D" w:rsidRDefault="00696E0F" w:rsidP="002A03A8">
            <w:pPr>
              <w:tabs>
                <w:tab w:val="left" w:pos="567"/>
                <w:tab w:val="left" w:pos="1134"/>
              </w:tabs>
              <w:spacing w:after="0"/>
              <w:jc w:val="center"/>
              <w:rPr>
                <w:rFonts w:cs="Arial"/>
              </w:rPr>
            </w:pPr>
          </w:p>
        </w:tc>
        <w:tc>
          <w:tcPr>
            <w:tcW w:w="0" w:type="auto"/>
            <w:tcBorders>
              <w:bottom w:val="single" w:sz="4" w:space="0" w:color="auto"/>
            </w:tcBorders>
            <w:vAlign w:val="center"/>
          </w:tcPr>
          <w:p w:rsidR="00696E0F" w:rsidRPr="009D070D" w:rsidRDefault="00696E0F" w:rsidP="002A03A8">
            <w:pPr>
              <w:tabs>
                <w:tab w:val="left" w:pos="567"/>
                <w:tab w:val="left" w:pos="1134"/>
              </w:tabs>
              <w:spacing w:after="0"/>
              <w:jc w:val="center"/>
              <w:rPr>
                <w:rFonts w:cs="Arial"/>
              </w:rPr>
            </w:pPr>
          </w:p>
        </w:tc>
        <w:tc>
          <w:tcPr>
            <w:tcW w:w="0" w:type="auto"/>
            <w:tcBorders>
              <w:bottom w:val="single" w:sz="4" w:space="0" w:color="auto"/>
            </w:tcBorders>
            <w:vAlign w:val="center"/>
          </w:tcPr>
          <w:p w:rsidR="00696E0F" w:rsidRPr="009D070D" w:rsidRDefault="00696E0F" w:rsidP="002A03A8">
            <w:pPr>
              <w:tabs>
                <w:tab w:val="left" w:pos="567"/>
                <w:tab w:val="left" w:pos="1134"/>
              </w:tabs>
              <w:spacing w:after="0"/>
              <w:jc w:val="center"/>
              <w:rPr>
                <w:rFonts w:cs="Arial"/>
              </w:rPr>
            </w:pPr>
          </w:p>
        </w:tc>
        <w:tc>
          <w:tcPr>
            <w:tcW w:w="894" w:type="dxa"/>
            <w:tcBorders>
              <w:top w:val="nil"/>
              <w:bottom w:val="single" w:sz="4" w:space="0" w:color="auto"/>
            </w:tcBorders>
            <w:vAlign w:val="center"/>
          </w:tcPr>
          <w:p w:rsidR="00696E0F" w:rsidRPr="009D070D" w:rsidRDefault="00696E0F" w:rsidP="002A03A8">
            <w:pPr>
              <w:tabs>
                <w:tab w:val="left" w:pos="567"/>
                <w:tab w:val="left" w:pos="1134"/>
              </w:tabs>
              <w:spacing w:after="0"/>
              <w:jc w:val="center"/>
              <w:rPr>
                <w:rFonts w:cs="Arial"/>
              </w:rPr>
            </w:pPr>
          </w:p>
        </w:tc>
      </w:tr>
      <w:tr w:rsidR="00696E0F" w:rsidRPr="009D070D" w:rsidTr="00122E8D">
        <w:trPr>
          <w:trHeight w:val="270"/>
        </w:trPr>
        <w:tc>
          <w:tcPr>
            <w:tcW w:w="0" w:type="auto"/>
            <w:tcBorders>
              <w:top w:val="single" w:sz="4" w:space="0" w:color="auto"/>
              <w:left w:val="single" w:sz="4" w:space="0" w:color="auto"/>
              <w:bottom w:val="nil"/>
              <w:right w:val="single" w:sz="4" w:space="0" w:color="auto"/>
            </w:tcBorders>
          </w:tcPr>
          <w:p w:rsidR="009D070D" w:rsidRDefault="009D070D" w:rsidP="003D58F1">
            <w:pPr>
              <w:tabs>
                <w:tab w:val="left" w:pos="567"/>
                <w:tab w:val="left" w:pos="1134"/>
              </w:tabs>
              <w:spacing w:after="0"/>
              <w:rPr>
                <w:rFonts w:cs="Arial"/>
              </w:rPr>
            </w:pPr>
          </w:p>
          <w:p w:rsidR="00696E0F" w:rsidRDefault="007F3C40" w:rsidP="003D58F1">
            <w:pPr>
              <w:tabs>
                <w:tab w:val="left" w:pos="567"/>
                <w:tab w:val="left" w:pos="1134"/>
              </w:tabs>
              <w:spacing w:after="0"/>
              <w:rPr>
                <w:rFonts w:cs="Arial"/>
              </w:rPr>
            </w:pPr>
            <w:r w:rsidRPr="009D070D">
              <w:rPr>
                <w:rFonts w:cs="Arial"/>
              </w:rPr>
              <w:t>Total Expenditure</w:t>
            </w:r>
          </w:p>
          <w:p w:rsidR="009D070D" w:rsidRPr="009D070D" w:rsidRDefault="009D070D" w:rsidP="003D58F1">
            <w:pPr>
              <w:tabs>
                <w:tab w:val="left" w:pos="567"/>
                <w:tab w:val="left" w:pos="1134"/>
              </w:tabs>
              <w:spacing w:after="0"/>
              <w:rPr>
                <w:rFonts w:cs="Arial"/>
              </w:rPr>
            </w:pPr>
          </w:p>
        </w:tc>
        <w:tc>
          <w:tcPr>
            <w:tcW w:w="0" w:type="auto"/>
            <w:tcBorders>
              <w:top w:val="single" w:sz="4" w:space="0" w:color="auto"/>
              <w:left w:val="single" w:sz="4" w:space="0" w:color="auto"/>
              <w:bottom w:val="nil"/>
              <w:right w:val="single" w:sz="4" w:space="0" w:color="auto"/>
            </w:tcBorders>
            <w:vAlign w:val="center"/>
          </w:tcPr>
          <w:p w:rsidR="00696E0F" w:rsidRPr="009D070D" w:rsidRDefault="00B77473" w:rsidP="001E61E6">
            <w:pPr>
              <w:tabs>
                <w:tab w:val="left" w:pos="567"/>
                <w:tab w:val="left" w:pos="1134"/>
              </w:tabs>
              <w:spacing w:after="0"/>
              <w:jc w:val="center"/>
              <w:rPr>
                <w:rFonts w:cs="Arial"/>
              </w:rPr>
            </w:pPr>
            <w:r>
              <w:rPr>
                <w:rFonts w:cs="Arial"/>
              </w:rPr>
              <w:t>79</w:t>
            </w:r>
            <w:r w:rsidR="001E61E6">
              <w:rPr>
                <w:rFonts w:cs="Arial"/>
              </w:rPr>
              <w:t>5</w:t>
            </w:r>
            <w:r>
              <w:rPr>
                <w:rFonts w:cs="Arial"/>
              </w:rPr>
              <w:t>.2</w:t>
            </w:r>
          </w:p>
        </w:tc>
        <w:tc>
          <w:tcPr>
            <w:tcW w:w="0" w:type="auto"/>
            <w:tcBorders>
              <w:top w:val="single" w:sz="4" w:space="0" w:color="auto"/>
              <w:left w:val="single" w:sz="4" w:space="0" w:color="auto"/>
              <w:bottom w:val="nil"/>
              <w:right w:val="single" w:sz="4" w:space="0" w:color="auto"/>
            </w:tcBorders>
            <w:vAlign w:val="center"/>
          </w:tcPr>
          <w:p w:rsidR="00696E0F" w:rsidRPr="009D070D" w:rsidRDefault="00886C3A" w:rsidP="001E61E6">
            <w:pPr>
              <w:tabs>
                <w:tab w:val="left" w:pos="567"/>
                <w:tab w:val="left" w:pos="1134"/>
              </w:tabs>
              <w:spacing w:after="0"/>
              <w:jc w:val="center"/>
              <w:rPr>
                <w:rFonts w:cs="Arial"/>
              </w:rPr>
            </w:pPr>
            <w:r>
              <w:rPr>
                <w:rFonts w:cs="Arial"/>
              </w:rPr>
              <w:t>70</w:t>
            </w:r>
            <w:r w:rsidR="001E61E6">
              <w:rPr>
                <w:rFonts w:cs="Arial"/>
              </w:rPr>
              <w:t>6</w:t>
            </w:r>
            <w:r>
              <w:rPr>
                <w:rFonts w:cs="Arial"/>
              </w:rPr>
              <w:t>.</w:t>
            </w:r>
            <w:r w:rsidR="00AC08F6">
              <w:rPr>
                <w:rFonts w:cs="Arial"/>
              </w:rPr>
              <w:t>1</w:t>
            </w:r>
          </w:p>
        </w:tc>
        <w:tc>
          <w:tcPr>
            <w:tcW w:w="0" w:type="auto"/>
            <w:tcBorders>
              <w:top w:val="single" w:sz="4" w:space="0" w:color="auto"/>
              <w:left w:val="single" w:sz="4" w:space="0" w:color="auto"/>
              <w:bottom w:val="nil"/>
              <w:right w:val="single" w:sz="4" w:space="0" w:color="auto"/>
            </w:tcBorders>
            <w:vAlign w:val="center"/>
          </w:tcPr>
          <w:p w:rsidR="00696E0F" w:rsidRPr="009D070D" w:rsidRDefault="00EE5E69" w:rsidP="00271E25">
            <w:pPr>
              <w:tabs>
                <w:tab w:val="left" w:pos="567"/>
                <w:tab w:val="left" w:pos="1134"/>
              </w:tabs>
              <w:spacing w:after="0"/>
              <w:jc w:val="center"/>
              <w:rPr>
                <w:rFonts w:cs="Arial"/>
              </w:rPr>
            </w:pPr>
            <w:r w:rsidRPr="009D070D">
              <w:rPr>
                <w:rFonts w:cs="Arial"/>
              </w:rPr>
              <w:t>72</w:t>
            </w:r>
            <w:r w:rsidR="00271E25" w:rsidRPr="009D070D">
              <w:rPr>
                <w:rFonts w:cs="Arial"/>
              </w:rPr>
              <w:t>5</w:t>
            </w:r>
            <w:r w:rsidRPr="009D070D">
              <w:rPr>
                <w:rFonts w:cs="Arial"/>
              </w:rPr>
              <w:t>.0</w:t>
            </w:r>
          </w:p>
        </w:tc>
        <w:tc>
          <w:tcPr>
            <w:tcW w:w="0" w:type="auto"/>
            <w:tcBorders>
              <w:top w:val="single" w:sz="4" w:space="0" w:color="auto"/>
              <w:left w:val="single" w:sz="4" w:space="0" w:color="auto"/>
              <w:bottom w:val="nil"/>
              <w:right w:val="single" w:sz="4" w:space="0" w:color="auto"/>
            </w:tcBorders>
            <w:vAlign w:val="center"/>
          </w:tcPr>
          <w:p w:rsidR="00696E0F" w:rsidRPr="009D070D" w:rsidRDefault="00B53E16" w:rsidP="00B53E16">
            <w:pPr>
              <w:tabs>
                <w:tab w:val="left" w:pos="567"/>
                <w:tab w:val="left" w:pos="1134"/>
              </w:tabs>
              <w:spacing w:after="0"/>
              <w:jc w:val="center"/>
              <w:rPr>
                <w:rFonts w:cs="Arial"/>
              </w:rPr>
            </w:pPr>
            <w:r w:rsidRPr="009D070D">
              <w:rPr>
                <w:rFonts w:cs="Arial"/>
              </w:rPr>
              <w:t>711</w:t>
            </w:r>
            <w:r w:rsidR="00EE5E69" w:rsidRPr="009D070D">
              <w:rPr>
                <w:rFonts w:cs="Arial"/>
              </w:rPr>
              <w:t>.</w:t>
            </w:r>
            <w:r w:rsidRPr="009D070D">
              <w:rPr>
                <w:rFonts w:cs="Arial"/>
              </w:rPr>
              <w:t>4</w:t>
            </w:r>
          </w:p>
        </w:tc>
        <w:tc>
          <w:tcPr>
            <w:tcW w:w="0" w:type="auto"/>
            <w:tcBorders>
              <w:top w:val="single" w:sz="4" w:space="0" w:color="auto"/>
              <w:left w:val="single" w:sz="4" w:space="0" w:color="auto"/>
              <w:bottom w:val="nil"/>
              <w:right w:val="single" w:sz="4" w:space="0" w:color="auto"/>
            </w:tcBorders>
            <w:vAlign w:val="center"/>
          </w:tcPr>
          <w:p w:rsidR="00696E0F" w:rsidRPr="009D070D" w:rsidRDefault="00EE5E69" w:rsidP="002A03A8">
            <w:pPr>
              <w:tabs>
                <w:tab w:val="left" w:pos="567"/>
                <w:tab w:val="left" w:pos="1134"/>
              </w:tabs>
              <w:spacing w:after="0"/>
              <w:jc w:val="center"/>
              <w:rPr>
                <w:rFonts w:cs="Arial"/>
              </w:rPr>
            </w:pPr>
            <w:r w:rsidRPr="009D070D">
              <w:rPr>
                <w:rFonts w:cs="Arial"/>
              </w:rPr>
              <w:t>710.2</w:t>
            </w:r>
          </w:p>
        </w:tc>
        <w:tc>
          <w:tcPr>
            <w:tcW w:w="894" w:type="dxa"/>
            <w:tcBorders>
              <w:top w:val="single" w:sz="4" w:space="0" w:color="auto"/>
              <w:left w:val="single" w:sz="4" w:space="0" w:color="auto"/>
              <w:bottom w:val="nil"/>
              <w:right w:val="single" w:sz="4" w:space="0" w:color="auto"/>
            </w:tcBorders>
            <w:vAlign w:val="center"/>
          </w:tcPr>
          <w:p w:rsidR="00696E0F" w:rsidRPr="009D070D" w:rsidRDefault="00696E0F" w:rsidP="002A03A8">
            <w:pPr>
              <w:tabs>
                <w:tab w:val="left" w:pos="567"/>
                <w:tab w:val="left" w:pos="1134"/>
              </w:tabs>
              <w:spacing w:after="0"/>
              <w:jc w:val="center"/>
              <w:rPr>
                <w:rFonts w:cs="Arial"/>
                <w:highlight w:val="green"/>
              </w:rPr>
            </w:pPr>
          </w:p>
        </w:tc>
      </w:tr>
      <w:tr w:rsidR="007F3C40" w:rsidRPr="009D070D" w:rsidTr="00122E8D">
        <w:trPr>
          <w:trHeight w:val="270"/>
        </w:trPr>
        <w:tc>
          <w:tcPr>
            <w:tcW w:w="0" w:type="auto"/>
            <w:tcBorders>
              <w:top w:val="single" w:sz="4" w:space="0" w:color="auto"/>
              <w:left w:val="single" w:sz="4" w:space="0" w:color="auto"/>
              <w:bottom w:val="nil"/>
              <w:right w:val="single" w:sz="4" w:space="0" w:color="auto"/>
            </w:tcBorders>
          </w:tcPr>
          <w:p w:rsidR="007F3C40" w:rsidRPr="009D070D" w:rsidRDefault="007F3C40" w:rsidP="003D58F1">
            <w:pPr>
              <w:tabs>
                <w:tab w:val="left" w:pos="567"/>
                <w:tab w:val="left" w:pos="1134"/>
              </w:tabs>
              <w:spacing w:after="0"/>
              <w:rPr>
                <w:rFonts w:cs="Arial"/>
                <w:highlight w:val="green"/>
              </w:rPr>
            </w:pPr>
          </w:p>
        </w:tc>
        <w:tc>
          <w:tcPr>
            <w:tcW w:w="0" w:type="auto"/>
            <w:tcBorders>
              <w:top w:val="single" w:sz="4" w:space="0" w:color="auto"/>
              <w:left w:val="single" w:sz="4" w:space="0" w:color="auto"/>
              <w:bottom w:val="nil"/>
              <w:right w:val="single" w:sz="4" w:space="0" w:color="auto"/>
            </w:tcBorders>
            <w:vAlign w:val="center"/>
          </w:tcPr>
          <w:p w:rsidR="007F3C40" w:rsidRPr="009D070D" w:rsidRDefault="007F3C40" w:rsidP="00B53E16">
            <w:pPr>
              <w:tabs>
                <w:tab w:val="left" w:pos="567"/>
                <w:tab w:val="left" w:pos="1134"/>
              </w:tabs>
              <w:spacing w:after="0"/>
              <w:jc w:val="center"/>
              <w:rPr>
                <w:rFonts w:cs="Arial"/>
              </w:rPr>
            </w:pPr>
          </w:p>
        </w:tc>
        <w:tc>
          <w:tcPr>
            <w:tcW w:w="0" w:type="auto"/>
            <w:tcBorders>
              <w:top w:val="single" w:sz="4" w:space="0" w:color="auto"/>
              <w:left w:val="single" w:sz="4" w:space="0" w:color="auto"/>
              <w:bottom w:val="nil"/>
              <w:right w:val="single" w:sz="4" w:space="0" w:color="auto"/>
            </w:tcBorders>
            <w:vAlign w:val="center"/>
          </w:tcPr>
          <w:p w:rsidR="007F3C40" w:rsidRPr="009D070D" w:rsidRDefault="007F3C40" w:rsidP="00B53E16">
            <w:pPr>
              <w:tabs>
                <w:tab w:val="left" w:pos="567"/>
                <w:tab w:val="left" w:pos="1134"/>
              </w:tabs>
              <w:spacing w:after="0"/>
              <w:jc w:val="center"/>
              <w:rPr>
                <w:rFonts w:cs="Arial"/>
              </w:rPr>
            </w:pPr>
          </w:p>
        </w:tc>
        <w:tc>
          <w:tcPr>
            <w:tcW w:w="0" w:type="auto"/>
            <w:tcBorders>
              <w:top w:val="single" w:sz="4" w:space="0" w:color="auto"/>
              <w:left w:val="single" w:sz="4" w:space="0" w:color="auto"/>
              <w:bottom w:val="nil"/>
              <w:right w:val="single" w:sz="4" w:space="0" w:color="auto"/>
            </w:tcBorders>
            <w:vAlign w:val="center"/>
          </w:tcPr>
          <w:p w:rsidR="007F3C40" w:rsidRPr="009D070D" w:rsidRDefault="007F3C40" w:rsidP="00271E25">
            <w:pPr>
              <w:tabs>
                <w:tab w:val="left" w:pos="567"/>
                <w:tab w:val="left" w:pos="1134"/>
              </w:tabs>
              <w:spacing w:after="0"/>
              <w:jc w:val="center"/>
              <w:rPr>
                <w:rFonts w:cs="Arial"/>
              </w:rPr>
            </w:pPr>
          </w:p>
        </w:tc>
        <w:tc>
          <w:tcPr>
            <w:tcW w:w="0" w:type="auto"/>
            <w:tcBorders>
              <w:top w:val="single" w:sz="4" w:space="0" w:color="auto"/>
              <w:left w:val="single" w:sz="4" w:space="0" w:color="auto"/>
              <w:bottom w:val="nil"/>
              <w:right w:val="single" w:sz="4" w:space="0" w:color="auto"/>
            </w:tcBorders>
            <w:vAlign w:val="center"/>
          </w:tcPr>
          <w:p w:rsidR="007F3C40" w:rsidRPr="009D070D" w:rsidRDefault="007F3C40" w:rsidP="00B53E16">
            <w:pPr>
              <w:tabs>
                <w:tab w:val="left" w:pos="567"/>
                <w:tab w:val="left" w:pos="1134"/>
              </w:tabs>
              <w:spacing w:after="0"/>
              <w:jc w:val="center"/>
              <w:rPr>
                <w:rFonts w:cs="Arial"/>
              </w:rPr>
            </w:pPr>
          </w:p>
        </w:tc>
        <w:tc>
          <w:tcPr>
            <w:tcW w:w="0" w:type="auto"/>
            <w:tcBorders>
              <w:top w:val="single" w:sz="4" w:space="0" w:color="auto"/>
              <w:left w:val="single" w:sz="4" w:space="0" w:color="auto"/>
              <w:bottom w:val="nil"/>
              <w:right w:val="single" w:sz="4" w:space="0" w:color="auto"/>
            </w:tcBorders>
            <w:vAlign w:val="center"/>
          </w:tcPr>
          <w:p w:rsidR="007F3C40" w:rsidRPr="009D070D" w:rsidRDefault="007F3C40" w:rsidP="002A03A8">
            <w:pPr>
              <w:tabs>
                <w:tab w:val="left" w:pos="567"/>
                <w:tab w:val="left" w:pos="1134"/>
              </w:tabs>
              <w:spacing w:after="0"/>
              <w:jc w:val="center"/>
              <w:rPr>
                <w:rFonts w:cs="Arial"/>
              </w:rPr>
            </w:pPr>
          </w:p>
        </w:tc>
        <w:tc>
          <w:tcPr>
            <w:tcW w:w="894" w:type="dxa"/>
            <w:tcBorders>
              <w:top w:val="single" w:sz="4" w:space="0" w:color="auto"/>
              <w:left w:val="single" w:sz="4" w:space="0" w:color="auto"/>
              <w:bottom w:val="nil"/>
              <w:right w:val="single" w:sz="4" w:space="0" w:color="auto"/>
            </w:tcBorders>
            <w:vAlign w:val="center"/>
          </w:tcPr>
          <w:p w:rsidR="007F3C40" w:rsidRPr="009D070D" w:rsidRDefault="007F3C40" w:rsidP="002A03A8">
            <w:pPr>
              <w:tabs>
                <w:tab w:val="left" w:pos="567"/>
                <w:tab w:val="left" w:pos="1134"/>
              </w:tabs>
              <w:spacing w:after="0"/>
              <w:jc w:val="center"/>
              <w:rPr>
                <w:rFonts w:cs="Arial"/>
                <w:highlight w:val="green"/>
              </w:rPr>
            </w:pPr>
          </w:p>
        </w:tc>
      </w:tr>
      <w:tr w:rsidR="00DF4ECD" w:rsidRPr="009D070D" w:rsidTr="00122E8D">
        <w:trPr>
          <w:trHeight w:val="285"/>
        </w:trPr>
        <w:tc>
          <w:tcPr>
            <w:tcW w:w="0" w:type="auto"/>
            <w:tcBorders>
              <w:top w:val="nil"/>
              <w:left w:val="single" w:sz="4" w:space="0" w:color="auto"/>
              <w:bottom w:val="single" w:sz="4" w:space="0" w:color="auto"/>
              <w:right w:val="single" w:sz="4" w:space="0" w:color="auto"/>
            </w:tcBorders>
          </w:tcPr>
          <w:p w:rsidR="00DF4ECD" w:rsidRDefault="00DF4ECD" w:rsidP="003D58F1">
            <w:pPr>
              <w:tabs>
                <w:tab w:val="left" w:pos="567"/>
                <w:tab w:val="left" w:pos="1134"/>
              </w:tabs>
              <w:spacing w:after="0"/>
              <w:rPr>
                <w:rFonts w:cs="Arial"/>
              </w:rPr>
            </w:pPr>
            <w:r w:rsidRPr="009D070D">
              <w:rPr>
                <w:rFonts w:cs="Arial"/>
              </w:rPr>
              <w:t>Resources</w:t>
            </w:r>
          </w:p>
          <w:p w:rsidR="009D070D" w:rsidRPr="009D070D" w:rsidRDefault="009D070D" w:rsidP="003D58F1">
            <w:pPr>
              <w:tabs>
                <w:tab w:val="left" w:pos="567"/>
                <w:tab w:val="left" w:pos="1134"/>
              </w:tabs>
              <w:spacing w:after="0"/>
              <w:rPr>
                <w:rFonts w:cs="Arial"/>
              </w:rPr>
            </w:pPr>
          </w:p>
        </w:tc>
        <w:tc>
          <w:tcPr>
            <w:tcW w:w="0" w:type="auto"/>
            <w:tcBorders>
              <w:top w:val="nil"/>
              <w:left w:val="single" w:sz="4" w:space="0" w:color="auto"/>
              <w:bottom w:val="single" w:sz="4" w:space="0" w:color="auto"/>
              <w:right w:val="single" w:sz="4" w:space="0" w:color="auto"/>
            </w:tcBorders>
            <w:vAlign w:val="center"/>
          </w:tcPr>
          <w:p w:rsidR="00DF4ECD" w:rsidRPr="009D070D" w:rsidRDefault="00DF4ECD" w:rsidP="002A03A8">
            <w:pPr>
              <w:tabs>
                <w:tab w:val="left" w:pos="567"/>
                <w:tab w:val="left" w:pos="1134"/>
              </w:tabs>
              <w:spacing w:after="0"/>
              <w:jc w:val="center"/>
              <w:rPr>
                <w:rFonts w:cs="Arial"/>
              </w:rPr>
            </w:pPr>
            <w:r w:rsidRPr="009D070D">
              <w:rPr>
                <w:rFonts w:cs="Arial"/>
              </w:rPr>
              <w:t>705.0</w:t>
            </w:r>
          </w:p>
        </w:tc>
        <w:tc>
          <w:tcPr>
            <w:tcW w:w="0" w:type="auto"/>
            <w:tcBorders>
              <w:top w:val="nil"/>
              <w:left w:val="single" w:sz="4" w:space="0" w:color="auto"/>
              <w:bottom w:val="single" w:sz="4" w:space="0" w:color="auto"/>
              <w:right w:val="single" w:sz="4" w:space="0" w:color="auto"/>
            </w:tcBorders>
            <w:vAlign w:val="center"/>
          </w:tcPr>
          <w:p w:rsidR="00DF4ECD" w:rsidRPr="009D070D" w:rsidRDefault="00E03947" w:rsidP="002A03A8">
            <w:pPr>
              <w:tabs>
                <w:tab w:val="left" w:pos="567"/>
                <w:tab w:val="left" w:pos="1134"/>
              </w:tabs>
              <w:spacing w:after="0"/>
              <w:jc w:val="center"/>
              <w:rPr>
                <w:rFonts w:cs="Arial"/>
              </w:rPr>
            </w:pPr>
            <w:r w:rsidRPr="009D070D">
              <w:rPr>
                <w:rFonts w:cs="Arial"/>
              </w:rPr>
              <w:t>684.2</w:t>
            </w:r>
          </w:p>
        </w:tc>
        <w:tc>
          <w:tcPr>
            <w:tcW w:w="0" w:type="auto"/>
            <w:tcBorders>
              <w:top w:val="nil"/>
              <w:left w:val="single" w:sz="4" w:space="0" w:color="auto"/>
              <w:bottom w:val="single" w:sz="4" w:space="0" w:color="auto"/>
              <w:right w:val="single" w:sz="4" w:space="0" w:color="auto"/>
            </w:tcBorders>
            <w:vAlign w:val="center"/>
          </w:tcPr>
          <w:p w:rsidR="00DF4ECD" w:rsidRPr="009D070D" w:rsidRDefault="00DF4ECD" w:rsidP="002A03A8">
            <w:pPr>
              <w:tabs>
                <w:tab w:val="left" w:pos="567"/>
                <w:tab w:val="left" w:pos="1134"/>
              </w:tabs>
              <w:spacing w:after="0"/>
              <w:jc w:val="center"/>
              <w:rPr>
                <w:rFonts w:cs="Arial"/>
              </w:rPr>
            </w:pPr>
            <w:r w:rsidRPr="009D070D">
              <w:rPr>
                <w:rFonts w:cs="Arial"/>
              </w:rPr>
              <w:t>669.0</w:t>
            </w:r>
          </w:p>
        </w:tc>
        <w:tc>
          <w:tcPr>
            <w:tcW w:w="0" w:type="auto"/>
            <w:tcBorders>
              <w:top w:val="nil"/>
              <w:left w:val="single" w:sz="4" w:space="0" w:color="auto"/>
              <w:bottom w:val="single" w:sz="4" w:space="0" w:color="auto"/>
              <w:right w:val="single" w:sz="4" w:space="0" w:color="auto"/>
            </w:tcBorders>
            <w:vAlign w:val="center"/>
          </w:tcPr>
          <w:p w:rsidR="00DF4ECD" w:rsidRPr="009D070D" w:rsidRDefault="00DF4ECD" w:rsidP="002A03A8">
            <w:pPr>
              <w:tabs>
                <w:tab w:val="left" w:pos="567"/>
                <w:tab w:val="left" w:pos="1134"/>
              </w:tabs>
              <w:spacing w:after="0"/>
              <w:jc w:val="center"/>
              <w:rPr>
                <w:rFonts w:cs="Arial"/>
              </w:rPr>
            </w:pPr>
            <w:r w:rsidRPr="009D070D">
              <w:rPr>
                <w:rFonts w:cs="Arial"/>
              </w:rPr>
              <w:t>663.8</w:t>
            </w:r>
          </w:p>
        </w:tc>
        <w:tc>
          <w:tcPr>
            <w:tcW w:w="0" w:type="auto"/>
            <w:tcBorders>
              <w:top w:val="nil"/>
              <w:left w:val="single" w:sz="4" w:space="0" w:color="auto"/>
              <w:bottom w:val="single" w:sz="4" w:space="0" w:color="auto"/>
              <w:right w:val="single" w:sz="4" w:space="0" w:color="auto"/>
            </w:tcBorders>
            <w:vAlign w:val="center"/>
          </w:tcPr>
          <w:p w:rsidR="00DF4ECD" w:rsidRPr="009D070D" w:rsidRDefault="00DF4ECD" w:rsidP="002A03A8">
            <w:pPr>
              <w:tabs>
                <w:tab w:val="left" w:pos="567"/>
                <w:tab w:val="left" w:pos="1134"/>
              </w:tabs>
              <w:spacing w:after="0"/>
              <w:jc w:val="center"/>
              <w:rPr>
                <w:rFonts w:cs="Arial"/>
              </w:rPr>
            </w:pPr>
            <w:r w:rsidRPr="009D070D">
              <w:rPr>
                <w:rFonts w:cs="Arial"/>
              </w:rPr>
              <w:t>663.9</w:t>
            </w:r>
          </w:p>
        </w:tc>
        <w:tc>
          <w:tcPr>
            <w:tcW w:w="894" w:type="dxa"/>
            <w:tcBorders>
              <w:top w:val="nil"/>
              <w:left w:val="single" w:sz="4" w:space="0" w:color="auto"/>
              <w:bottom w:val="single" w:sz="4" w:space="0" w:color="auto"/>
            </w:tcBorders>
            <w:vAlign w:val="center"/>
          </w:tcPr>
          <w:p w:rsidR="00DF4ECD" w:rsidRPr="009D070D" w:rsidRDefault="00DF4ECD" w:rsidP="002A03A8">
            <w:pPr>
              <w:tabs>
                <w:tab w:val="left" w:pos="567"/>
                <w:tab w:val="left" w:pos="1134"/>
              </w:tabs>
              <w:spacing w:after="0"/>
              <w:jc w:val="center"/>
              <w:rPr>
                <w:rFonts w:cs="Arial"/>
              </w:rPr>
            </w:pPr>
          </w:p>
        </w:tc>
      </w:tr>
      <w:tr w:rsidR="00081179" w:rsidRPr="009D070D" w:rsidTr="00122E8D">
        <w:trPr>
          <w:trHeight w:val="255"/>
        </w:trPr>
        <w:tc>
          <w:tcPr>
            <w:tcW w:w="0" w:type="auto"/>
            <w:tcBorders>
              <w:top w:val="single" w:sz="4" w:space="0" w:color="auto"/>
              <w:bottom w:val="single" w:sz="4" w:space="0" w:color="auto"/>
            </w:tcBorders>
          </w:tcPr>
          <w:p w:rsidR="009D070D" w:rsidRDefault="009D070D" w:rsidP="003D58F1">
            <w:pPr>
              <w:tabs>
                <w:tab w:val="left" w:pos="567"/>
                <w:tab w:val="left" w:pos="1134"/>
              </w:tabs>
              <w:spacing w:after="0"/>
              <w:rPr>
                <w:rFonts w:cs="Arial"/>
                <w:b/>
              </w:rPr>
            </w:pPr>
          </w:p>
          <w:p w:rsidR="00081179" w:rsidRDefault="00081179" w:rsidP="003D58F1">
            <w:pPr>
              <w:tabs>
                <w:tab w:val="left" w:pos="567"/>
                <w:tab w:val="left" w:pos="1134"/>
              </w:tabs>
              <w:spacing w:after="0"/>
              <w:rPr>
                <w:rFonts w:cs="Arial"/>
                <w:b/>
              </w:rPr>
            </w:pPr>
            <w:r w:rsidRPr="009D070D">
              <w:rPr>
                <w:rFonts w:cs="Arial"/>
                <w:b/>
              </w:rPr>
              <w:t>Funding Gap</w:t>
            </w:r>
          </w:p>
          <w:p w:rsidR="009D070D" w:rsidRPr="009D070D" w:rsidRDefault="009D070D" w:rsidP="003D58F1">
            <w:pPr>
              <w:tabs>
                <w:tab w:val="left" w:pos="567"/>
                <w:tab w:val="left" w:pos="1134"/>
              </w:tabs>
              <w:spacing w:after="0"/>
              <w:rPr>
                <w:rFonts w:cs="Arial"/>
                <w:b/>
              </w:rPr>
            </w:pPr>
          </w:p>
        </w:tc>
        <w:tc>
          <w:tcPr>
            <w:tcW w:w="0" w:type="auto"/>
            <w:tcBorders>
              <w:top w:val="single" w:sz="4" w:space="0" w:color="auto"/>
              <w:bottom w:val="single" w:sz="4" w:space="0" w:color="auto"/>
            </w:tcBorders>
            <w:vAlign w:val="center"/>
          </w:tcPr>
          <w:p w:rsidR="00081179" w:rsidRPr="009D070D" w:rsidRDefault="00B77473" w:rsidP="001E61E6">
            <w:pPr>
              <w:tabs>
                <w:tab w:val="left" w:pos="567"/>
                <w:tab w:val="left" w:pos="1134"/>
              </w:tabs>
              <w:spacing w:after="0"/>
              <w:jc w:val="center"/>
              <w:rPr>
                <w:rFonts w:cs="Arial"/>
                <w:b/>
              </w:rPr>
            </w:pPr>
            <w:r>
              <w:rPr>
                <w:rFonts w:cs="Arial"/>
                <w:b/>
              </w:rPr>
              <w:t>9</w:t>
            </w:r>
            <w:r w:rsidR="001E61E6">
              <w:rPr>
                <w:rFonts w:cs="Arial"/>
                <w:b/>
              </w:rPr>
              <w:t>0</w:t>
            </w:r>
            <w:r>
              <w:rPr>
                <w:rFonts w:cs="Arial"/>
                <w:b/>
              </w:rPr>
              <w:t>.2</w:t>
            </w:r>
          </w:p>
        </w:tc>
        <w:tc>
          <w:tcPr>
            <w:tcW w:w="0" w:type="auto"/>
            <w:tcBorders>
              <w:top w:val="single" w:sz="4" w:space="0" w:color="auto"/>
              <w:bottom w:val="single" w:sz="4" w:space="0" w:color="auto"/>
            </w:tcBorders>
            <w:vAlign w:val="center"/>
          </w:tcPr>
          <w:p w:rsidR="00081179" w:rsidRPr="009D070D" w:rsidRDefault="001E61E6" w:rsidP="001E61E6">
            <w:pPr>
              <w:tabs>
                <w:tab w:val="left" w:pos="567"/>
                <w:tab w:val="left" w:pos="1134"/>
              </w:tabs>
              <w:spacing w:after="0"/>
              <w:jc w:val="center"/>
              <w:rPr>
                <w:rFonts w:cs="Arial"/>
                <w:b/>
              </w:rPr>
            </w:pPr>
            <w:r>
              <w:rPr>
                <w:rFonts w:cs="Arial"/>
                <w:b/>
              </w:rPr>
              <w:t>21</w:t>
            </w:r>
            <w:r w:rsidR="00E00E10">
              <w:rPr>
                <w:rFonts w:cs="Arial"/>
                <w:b/>
              </w:rPr>
              <w:t>.9</w:t>
            </w:r>
          </w:p>
        </w:tc>
        <w:tc>
          <w:tcPr>
            <w:tcW w:w="0" w:type="auto"/>
            <w:tcBorders>
              <w:top w:val="single" w:sz="4" w:space="0" w:color="auto"/>
              <w:bottom w:val="single" w:sz="4" w:space="0" w:color="auto"/>
            </w:tcBorders>
            <w:vAlign w:val="center"/>
          </w:tcPr>
          <w:p w:rsidR="00081179" w:rsidRPr="009D070D" w:rsidRDefault="00C7650B" w:rsidP="002A03A8">
            <w:pPr>
              <w:tabs>
                <w:tab w:val="left" w:pos="567"/>
                <w:tab w:val="left" w:pos="1134"/>
              </w:tabs>
              <w:spacing w:after="0"/>
              <w:jc w:val="center"/>
              <w:rPr>
                <w:rFonts w:cs="Arial"/>
                <w:b/>
              </w:rPr>
            </w:pPr>
            <w:r w:rsidRPr="009D070D">
              <w:rPr>
                <w:rFonts w:cs="Arial"/>
                <w:b/>
              </w:rPr>
              <w:t>56.0</w:t>
            </w:r>
          </w:p>
        </w:tc>
        <w:tc>
          <w:tcPr>
            <w:tcW w:w="0" w:type="auto"/>
            <w:tcBorders>
              <w:top w:val="single" w:sz="4" w:space="0" w:color="auto"/>
              <w:bottom w:val="single" w:sz="4" w:space="0" w:color="auto"/>
            </w:tcBorders>
            <w:vAlign w:val="center"/>
          </w:tcPr>
          <w:p w:rsidR="00081179" w:rsidRPr="009D070D" w:rsidRDefault="00B53E16" w:rsidP="00B53E16">
            <w:pPr>
              <w:tabs>
                <w:tab w:val="left" w:pos="567"/>
                <w:tab w:val="left" w:pos="1134"/>
              </w:tabs>
              <w:spacing w:after="0"/>
              <w:jc w:val="center"/>
              <w:rPr>
                <w:rFonts w:cs="Arial"/>
                <w:b/>
              </w:rPr>
            </w:pPr>
            <w:r w:rsidRPr="009D070D">
              <w:rPr>
                <w:rFonts w:cs="Arial"/>
                <w:b/>
              </w:rPr>
              <w:t>47.6</w:t>
            </w:r>
          </w:p>
        </w:tc>
        <w:tc>
          <w:tcPr>
            <w:tcW w:w="0" w:type="auto"/>
            <w:tcBorders>
              <w:top w:val="single" w:sz="4" w:space="0" w:color="auto"/>
              <w:bottom w:val="single" w:sz="4" w:space="0" w:color="auto"/>
            </w:tcBorders>
            <w:vAlign w:val="center"/>
          </w:tcPr>
          <w:p w:rsidR="00081179" w:rsidRPr="009D070D" w:rsidRDefault="00FA3B79" w:rsidP="00E61A7C">
            <w:pPr>
              <w:tabs>
                <w:tab w:val="left" w:pos="567"/>
                <w:tab w:val="left" w:pos="1134"/>
              </w:tabs>
              <w:spacing w:after="0"/>
              <w:jc w:val="center"/>
              <w:rPr>
                <w:rFonts w:cs="Arial"/>
                <w:b/>
              </w:rPr>
            </w:pPr>
            <w:r w:rsidRPr="009D070D">
              <w:rPr>
                <w:rFonts w:cs="Arial"/>
                <w:b/>
              </w:rPr>
              <w:t>46.</w:t>
            </w:r>
            <w:r w:rsidR="00E61A7C" w:rsidRPr="009D070D">
              <w:rPr>
                <w:rFonts w:cs="Arial"/>
                <w:b/>
              </w:rPr>
              <w:t>3</w:t>
            </w:r>
          </w:p>
        </w:tc>
        <w:tc>
          <w:tcPr>
            <w:tcW w:w="894" w:type="dxa"/>
            <w:tcBorders>
              <w:top w:val="single" w:sz="4" w:space="0" w:color="auto"/>
              <w:bottom w:val="single" w:sz="4" w:space="0" w:color="auto"/>
            </w:tcBorders>
            <w:vAlign w:val="center"/>
          </w:tcPr>
          <w:p w:rsidR="00081179" w:rsidRPr="009D070D" w:rsidRDefault="00B77473" w:rsidP="008A4F1C">
            <w:pPr>
              <w:tabs>
                <w:tab w:val="left" w:pos="567"/>
                <w:tab w:val="left" w:pos="1134"/>
              </w:tabs>
              <w:spacing w:after="0"/>
              <w:jc w:val="center"/>
              <w:rPr>
                <w:rFonts w:cs="Arial"/>
                <w:b/>
              </w:rPr>
            </w:pPr>
            <w:r>
              <w:rPr>
                <w:rFonts w:cs="Arial"/>
                <w:b/>
              </w:rPr>
              <w:t>262.0</w:t>
            </w:r>
          </w:p>
        </w:tc>
      </w:tr>
    </w:tbl>
    <w:p w:rsidR="003D58F1" w:rsidRPr="009D070D" w:rsidRDefault="003D58F1" w:rsidP="003D58F1">
      <w:pPr>
        <w:spacing w:after="0"/>
        <w:rPr>
          <w:rFonts w:cs="Arial"/>
        </w:rPr>
      </w:pPr>
    </w:p>
    <w:tbl>
      <w:tblPr>
        <w:tblStyle w:val="TableGrid"/>
        <w:tblW w:w="9209" w:type="dxa"/>
        <w:tblLook w:val="04A0" w:firstRow="1" w:lastRow="0" w:firstColumn="1" w:lastColumn="0" w:noHBand="0" w:noVBand="1"/>
      </w:tblPr>
      <w:tblGrid>
        <w:gridCol w:w="2830"/>
        <w:gridCol w:w="1134"/>
        <w:gridCol w:w="993"/>
        <w:gridCol w:w="1134"/>
        <w:gridCol w:w="1134"/>
        <w:gridCol w:w="992"/>
        <w:gridCol w:w="992"/>
      </w:tblGrid>
      <w:tr w:rsidR="005406C3" w:rsidRPr="009D070D" w:rsidTr="009D070D">
        <w:trPr>
          <w:trHeight w:val="296"/>
        </w:trPr>
        <w:tc>
          <w:tcPr>
            <w:tcW w:w="9209" w:type="dxa"/>
            <w:gridSpan w:val="7"/>
            <w:shd w:val="clear" w:color="auto" w:fill="BFBFBF" w:themeFill="background1" w:themeFillShade="BF"/>
          </w:tcPr>
          <w:p w:rsidR="009D070D" w:rsidRPr="009D070D" w:rsidRDefault="005406C3" w:rsidP="009D070D">
            <w:pPr>
              <w:tabs>
                <w:tab w:val="left" w:pos="567"/>
                <w:tab w:val="left" w:pos="1134"/>
              </w:tabs>
              <w:spacing w:after="0" w:line="360" w:lineRule="auto"/>
              <w:jc w:val="left"/>
              <w:rPr>
                <w:rFonts w:cs="Arial"/>
                <w:b/>
              </w:rPr>
            </w:pPr>
            <w:r w:rsidRPr="009D070D">
              <w:rPr>
                <w:rFonts w:cs="Arial"/>
                <w:b/>
              </w:rPr>
              <w:t xml:space="preserve">Aggregated </w:t>
            </w:r>
            <w:r w:rsidR="009D070D">
              <w:rPr>
                <w:rFonts w:cs="Arial"/>
                <w:b/>
              </w:rPr>
              <w:t>Funding Gap</w:t>
            </w:r>
          </w:p>
        </w:tc>
      </w:tr>
      <w:tr w:rsidR="009D070D" w:rsidRPr="009D070D" w:rsidTr="009D070D">
        <w:trPr>
          <w:trHeight w:val="255"/>
        </w:trPr>
        <w:tc>
          <w:tcPr>
            <w:tcW w:w="2830" w:type="dxa"/>
            <w:vAlign w:val="center"/>
          </w:tcPr>
          <w:p w:rsidR="009D070D" w:rsidRDefault="009D070D" w:rsidP="009D070D">
            <w:pPr>
              <w:tabs>
                <w:tab w:val="left" w:pos="567"/>
                <w:tab w:val="left" w:pos="1134"/>
              </w:tabs>
              <w:spacing w:after="0"/>
              <w:rPr>
                <w:rFonts w:cs="Arial"/>
              </w:rPr>
            </w:pPr>
          </w:p>
          <w:p w:rsidR="009D070D" w:rsidRDefault="009D070D" w:rsidP="009D070D">
            <w:pPr>
              <w:tabs>
                <w:tab w:val="left" w:pos="567"/>
                <w:tab w:val="left" w:pos="1134"/>
              </w:tabs>
              <w:spacing w:after="0"/>
              <w:rPr>
                <w:rFonts w:cs="Arial"/>
              </w:rPr>
            </w:pPr>
            <w:r>
              <w:rPr>
                <w:rFonts w:cs="Arial"/>
              </w:rPr>
              <w:t>2016/17</w:t>
            </w:r>
            <w:r w:rsidR="003F3017">
              <w:rPr>
                <w:rFonts w:cs="Arial"/>
              </w:rPr>
              <w:t xml:space="preserve"> (£m)</w:t>
            </w:r>
          </w:p>
          <w:p w:rsidR="009D070D" w:rsidRPr="009D070D" w:rsidRDefault="009D070D" w:rsidP="009D070D">
            <w:pPr>
              <w:tabs>
                <w:tab w:val="left" w:pos="567"/>
                <w:tab w:val="left" w:pos="1134"/>
              </w:tabs>
              <w:spacing w:after="0"/>
              <w:rPr>
                <w:rFonts w:cs="Arial"/>
              </w:rPr>
            </w:pPr>
          </w:p>
        </w:tc>
        <w:tc>
          <w:tcPr>
            <w:tcW w:w="1134" w:type="dxa"/>
            <w:vAlign w:val="center"/>
          </w:tcPr>
          <w:p w:rsidR="009D070D" w:rsidRPr="009D070D" w:rsidRDefault="00B77473" w:rsidP="001E61E6">
            <w:pPr>
              <w:tabs>
                <w:tab w:val="left" w:pos="567"/>
                <w:tab w:val="left" w:pos="1134"/>
              </w:tabs>
              <w:spacing w:after="0"/>
              <w:jc w:val="center"/>
              <w:rPr>
                <w:rFonts w:cs="Arial"/>
              </w:rPr>
            </w:pPr>
            <w:r>
              <w:rPr>
                <w:rFonts w:cs="Arial"/>
              </w:rPr>
              <w:t>9</w:t>
            </w:r>
            <w:r w:rsidR="001E61E6">
              <w:rPr>
                <w:rFonts w:cs="Arial"/>
              </w:rPr>
              <w:t>0</w:t>
            </w:r>
            <w:r>
              <w:rPr>
                <w:rFonts w:cs="Arial"/>
              </w:rPr>
              <w:t>.2</w:t>
            </w:r>
          </w:p>
        </w:tc>
        <w:tc>
          <w:tcPr>
            <w:tcW w:w="993" w:type="dxa"/>
            <w:vAlign w:val="center"/>
          </w:tcPr>
          <w:p w:rsidR="009D070D" w:rsidRPr="009D070D" w:rsidRDefault="00B77473" w:rsidP="001E61E6">
            <w:pPr>
              <w:tabs>
                <w:tab w:val="left" w:pos="567"/>
                <w:tab w:val="left" w:pos="1134"/>
              </w:tabs>
              <w:spacing w:after="0"/>
              <w:jc w:val="center"/>
              <w:rPr>
                <w:rFonts w:cs="Arial"/>
              </w:rPr>
            </w:pPr>
            <w:r>
              <w:rPr>
                <w:rFonts w:cs="Arial"/>
              </w:rPr>
              <w:t>9</w:t>
            </w:r>
            <w:r w:rsidR="001E61E6">
              <w:rPr>
                <w:rFonts w:cs="Arial"/>
              </w:rPr>
              <w:t>0</w:t>
            </w:r>
            <w:r>
              <w:rPr>
                <w:rFonts w:cs="Arial"/>
              </w:rPr>
              <w:t>.2</w:t>
            </w:r>
          </w:p>
        </w:tc>
        <w:tc>
          <w:tcPr>
            <w:tcW w:w="1134" w:type="dxa"/>
            <w:vAlign w:val="center"/>
          </w:tcPr>
          <w:p w:rsidR="009D070D" w:rsidRPr="009D070D" w:rsidRDefault="00B77473" w:rsidP="001E61E6">
            <w:pPr>
              <w:tabs>
                <w:tab w:val="left" w:pos="567"/>
                <w:tab w:val="left" w:pos="1134"/>
              </w:tabs>
              <w:spacing w:after="0"/>
              <w:jc w:val="center"/>
              <w:rPr>
                <w:rFonts w:cs="Arial"/>
              </w:rPr>
            </w:pPr>
            <w:r>
              <w:rPr>
                <w:rFonts w:cs="Arial"/>
              </w:rPr>
              <w:t>9</w:t>
            </w:r>
            <w:r w:rsidR="001E61E6">
              <w:rPr>
                <w:rFonts w:cs="Arial"/>
              </w:rPr>
              <w:t>0</w:t>
            </w:r>
            <w:r>
              <w:rPr>
                <w:rFonts w:cs="Arial"/>
              </w:rPr>
              <w:t>.2</w:t>
            </w:r>
          </w:p>
        </w:tc>
        <w:tc>
          <w:tcPr>
            <w:tcW w:w="1134" w:type="dxa"/>
            <w:vAlign w:val="center"/>
          </w:tcPr>
          <w:p w:rsidR="009D070D" w:rsidRPr="009D070D" w:rsidRDefault="00B77473" w:rsidP="001E61E6">
            <w:pPr>
              <w:tabs>
                <w:tab w:val="left" w:pos="567"/>
                <w:tab w:val="left" w:pos="1134"/>
              </w:tabs>
              <w:spacing w:after="0"/>
              <w:jc w:val="center"/>
              <w:rPr>
                <w:rFonts w:cs="Arial"/>
              </w:rPr>
            </w:pPr>
            <w:r>
              <w:rPr>
                <w:rFonts w:cs="Arial"/>
              </w:rPr>
              <w:t>9</w:t>
            </w:r>
            <w:r w:rsidR="001E61E6">
              <w:rPr>
                <w:rFonts w:cs="Arial"/>
              </w:rPr>
              <w:t>0</w:t>
            </w:r>
            <w:r>
              <w:rPr>
                <w:rFonts w:cs="Arial"/>
              </w:rPr>
              <w:t>.2</w:t>
            </w:r>
          </w:p>
        </w:tc>
        <w:tc>
          <w:tcPr>
            <w:tcW w:w="992" w:type="dxa"/>
            <w:vAlign w:val="center"/>
          </w:tcPr>
          <w:p w:rsidR="009D070D" w:rsidRPr="009D070D" w:rsidRDefault="00B77473" w:rsidP="001E61E6">
            <w:pPr>
              <w:tabs>
                <w:tab w:val="left" w:pos="567"/>
                <w:tab w:val="left" w:pos="1134"/>
              </w:tabs>
              <w:spacing w:after="0"/>
              <w:jc w:val="center"/>
              <w:rPr>
                <w:rFonts w:cs="Arial"/>
              </w:rPr>
            </w:pPr>
            <w:r>
              <w:rPr>
                <w:rFonts w:cs="Arial"/>
              </w:rPr>
              <w:t>9</w:t>
            </w:r>
            <w:r w:rsidR="001E61E6">
              <w:rPr>
                <w:rFonts w:cs="Arial"/>
              </w:rPr>
              <w:t>0</w:t>
            </w:r>
            <w:r>
              <w:rPr>
                <w:rFonts w:cs="Arial"/>
              </w:rPr>
              <w:t>.2</w:t>
            </w:r>
          </w:p>
        </w:tc>
        <w:tc>
          <w:tcPr>
            <w:tcW w:w="992" w:type="dxa"/>
            <w:tcBorders>
              <w:bottom w:val="nil"/>
            </w:tcBorders>
            <w:vAlign w:val="center"/>
          </w:tcPr>
          <w:p w:rsidR="009D070D" w:rsidRPr="009D070D" w:rsidRDefault="009D070D" w:rsidP="009D070D">
            <w:pPr>
              <w:tabs>
                <w:tab w:val="left" w:pos="567"/>
                <w:tab w:val="left" w:pos="1134"/>
              </w:tabs>
              <w:spacing w:after="0"/>
              <w:jc w:val="center"/>
              <w:rPr>
                <w:rFonts w:cs="Arial"/>
                <w:b/>
              </w:rPr>
            </w:pPr>
          </w:p>
        </w:tc>
      </w:tr>
      <w:tr w:rsidR="009D070D" w:rsidRPr="009D070D" w:rsidTr="009D070D">
        <w:trPr>
          <w:trHeight w:val="255"/>
        </w:trPr>
        <w:tc>
          <w:tcPr>
            <w:tcW w:w="2830" w:type="dxa"/>
            <w:vAlign w:val="center"/>
          </w:tcPr>
          <w:p w:rsidR="009D070D" w:rsidRDefault="009D070D" w:rsidP="009D070D">
            <w:pPr>
              <w:tabs>
                <w:tab w:val="left" w:pos="567"/>
                <w:tab w:val="left" w:pos="1134"/>
              </w:tabs>
              <w:spacing w:after="0"/>
              <w:jc w:val="left"/>
              <w:rPr>
                <w:rFonts w:cs="Arial"/>
              </w:rPr>
            </w:pPr>
          </w:p>
          <w:p w:rsidR="009D070D" w:rsidRDefault="009D070D" w:rsidP="003F3017">
            <w:pPr>
              <w:tabs>
                <w:tab w:val="left" w:pos="567"/>
                <w:tab w:val="left" w:pos="1134"/>
              </w:tabs>
              <w:spacing w:after="0"/>
              <w:rPr>
                <w:rFonts w:cs="Arial"/>
              </w:rPr>
            </w:pPr>
            <w:r>
              <w:rPr>
                <w:rFonts w:cs="Arial"/>
              </w:rPr>
              <w:t>2017/18</w:t>
            </w:r>
            <w:r w:rsidR="003F3017">
              <w:rPr>
                <w:rFonts w:cs="Arial"/>
              </w:rPr>
              <w:t xml:space="preserve"> (£m)</w:t>
            </w:r>
          </w:p>
          <w:p w:rsidR="009D070D" w:rsidRPr="009D070D" w:rsidRDefault="009D070D" w:rsidP="009D070D">
            <w:pPr>
              <w:tabs>
                <w:tab w:val="left" w:pos="567"/>
                <w:tab w:val="left" w:pos="1134"/>
              </w:tabs>
              <w:spacing w:after="0"/>
              <w:jc w:val="left"/>
              <w:rPr>
                <w:rFonts w:cs="Arial"/>
              </w:rPr>
            </w:pPr>
          </w:p>
        </w:tc>
        <w:tc>
          <w:tcPr>
            <w:tcW w:w="1134" w:type="dxa"/>
            <w:vAlign w:val="center"/>
          </w:tcPr>
          <w:p w:rsidR="009D070D" w:rsidRPr="009D070D" w:rsidRDefault="009D070D" w:rsidP="009D070D">
            <w:pPr>
              <w:tabs>
                <w:tab w:val="left" w:pos="567"/>
                <w:tab w:val="left" w:pos="1134"/>
              </w:tabs>
              <w:spacing w:after="0"/>
              <w:jc w:val="center"/>
              <w:rPr>
                <w:rFonts w:cs="Arial"/>
              </w:rPr>
            </w:pPr>
          </w:p>
        </w:tc>
        <w:tc>
          <w:tcPr>
            <w:tcW w:w="993" w:type="dxa"/>
            <w:vAlign w:val="center"/>
          </w:tcPr>
          <w:p w:rsidR="009D070D" w:rsidRPr="009D070D" w:rsidRDefault="001E61E6" w:rsidP="001E61E6">
            <w:pPr>
              <w:tabs>
                <w:tab w:val="left" w:pos="567"/>
                <w:tab w:val="left" w:pos="1134"/>
              </w:tabs>
              <w:spacing w:after="0"/>
              <w:jc w:val="center"/>
              <w:rPr>
                <w:rFonts w:cs="Arial"/>
              </w:rPr>
            </w:pPr>
            <w:r>
              <w:rPr>
                <w:rFonts w:cs="Arial"/>
              </w:rPr>
              <w:t>21</w:t>
            </w:r>
            <w:r w:rsidR="00AE1BFE">
              <w:rPr>
                <w:rFonts w:cs="Arial"/>
              </w:rPr>
              <w:t>.9</w:t>
            </w:r>
          </w:p>
        </w:tc>
        <w:tc>
          <w:tcPr>
            <w:tcW w:w="1134" w:type="dxa"/>
            <w:vAlign w:val="center"/>
          </w:tcPr>
          <w:p w:rsidR="009D070D" w:rsidRPr="009D070D" w:rsidRDefault="001E61E6" w:rsidP="001E61E6">
            <w:pPr>
              <w:tabs>
                <w:tab w:val="left" w:pos="567"/>
                <w:tab w:val="left" w:pos="1134"/>
              </w:tabs>
              <w:spacing w:after="0"/>
              <w:jc w:val="center"/>
              <w:rPr>
                <w:rFonts w:cs="Arial"/>
              </w:rPr>
            </w:pPr>
            <w:r>
              <w:rPr>
                <w:rFonts w:cs="Arial"/>
              </w:rPr>
              <w:t>21</w:t>
            </w:r>
            <w:r w:rsidR="00AE1BFE">
              <w:rPr>
                <w:rFonts w:cs="Arial"/>
              </w:rPr>
              <w:t>.9</w:t>
            </w:r>
          </w:p>
        </w:tc>
        <w:tc>
          <w:tcPr>
            <w:tcW w:w="1134" w:type="dxa"/>
            <w:vAlign w:val="center"/>
          </w:tcPr>
          <w:p w:rsidR="009D070D" w:rsidRPr="009D070D" w:rsidRDefault="001E61E6" w:rsidP="001E61E6">
            <w:pPr>
              <w:tabs>
                <w:tab w:val="left" w:pos="567"/>
                <w:tab w:val="left" w:pos="1134"/>
              </w:tabs>
              <w:spacing w:after="0"/>
              <w:jc w:val="center"/>
              <w:rPr>
                <w:rFonts w:cs="Arial"/>
              </w:rPr>
            </w:pPr>
            <w:r>
              <w:rPr>
                <w:rFonts w:cs="Arial"/>
              </w:rPr>
              <w:t>21</w:t>
            </w:r>
            <w:r w:rsidR="00AE1BFE">
              <w:rPr>
                <w:rFonts w:cs="Arial"/>
              </w:rPr>
              <w:t>.9</w:t>
            </w:r>
          </w:p>
        </w:tc>
        <w:tc>
          <w:tcPr>
            <w:tcW w:w="992" w:type="dxa"/>
            <w:vAlign w:val="center"/>
          </w:tcPr>
          <w:p w:rsidR="009D070D" w:rsidRPr="009D070D" w:rsidRDefault="001E61E6" w:rsidP="001E61E6">
            <w:pPr>
              <w:tabs>
                <w:tab w:val="left" w:pos="567"/>
                <w:tab w:val="left" w:pos="1134"/>
              </w:tabs>
              <w:spacing w:after="0"/>
              <w:jc w:val="center"/>
              <w:rPr>
                <w:rFonts w:cs="Arial"/>
              </w:rPr>
            </w:pPr>
            <w:r>
              <w:rPr>
                <w:rFonts w:cs="Arial"/>
              </w:rPr>
              <w:t>21</w:t>
            </w:r>
            <w:r w:rsidR="00AE1BFE">
              <w:rPr>
                <w:rFonts w:cs="Arial"/>
              </w:rPr>
              <w:t>.9</w:t>
            </w:r>
          </w:p>
        </w:tc>
        <w:tc>
          <w:tcPr>
            <w:tcW w:w="992" w:type="dxa"/>
            <w:tcBorders>
              <w:top w:val="nil"/>
              <w:bottom w:val="nil"/>
            </w:tcBorders>
            <w:vAlign w:val="center"/>
          </w:tcPr>
          <w:p w:rsidR="009D070D" w:rsidRPr="009D070D" w:rsidRDefault="009D070D" w:rsidP="009D070D">
            <w:pPr>
              <w:tabs>
                <w:tab w:val="left" w:pos="567"/>
                <w:tab w:val="left" w:pos="1134"/>
              </w:tabs>
              <w:spacing w:after="0"/>
              <w:jc w:val="center"/>
              <w:rPr>
                <w:rFonts w:cs="Arial"/>
                <w:b/>
              </w:rPr>
            </w:pPr>
          </w:p>
        </w:tc>
      </w:tr>
      <w:tr w:rsidR="009D070D" w:rsidRPr="009D070D" w:rsidTr="009D070D">
        <w:trPr>
          <w:trHeight w:val="255"/>
        </w:trPr>
        <w:tc>
          <w:tcPr>
            <w:tcW w:w="2830" w:type="dxa"/>
            <w:vAlign w:val="center"/>
          </w:tcPr>
          <w:p w:rsidR="009D070D" w:rsidRDefault="009D070D" w:rsidP="009D070D">
            <w:pPr>
              <w:tabs>
                <w:tab w:val="left" w:pos="567"/>
                <w:tab w:val="left" w:pos="1134"/>
              </w:tabs>
              <w:spacing w:after="0"/>
              <w:jc w:val="left"/>
              <w:rPr>
                <w:rFonts w:cs="Arial"/>
              </w:rPr>
            </w:pPr>
          </w:p>
          <w:p w:rsidR="009D070D" w:rsidRDefault="009D070D" w:rsidP="003F3017">
            <w:pPr>
              <w:tabs>
                <w:tab w:val="left" w:pos="567"/>
                <w:tab w:val="left" w:pos="1134"/>
              </w:tabs>
              <w:spacing w:after="0"/>
              <w:rPr>
                <w:rFonts w:cs="Arial"/>
              </w:rPr>
            </w:pPr>
            <w:r>
              <w:rPr>
                <w:rFonts w:cs="Arial"/>
              </w:rPr>
              <w:t>2018/19</w:t>
            </w:r>
            <w:r w:rsidR="003F3017">
              <w:rPr>
                <w:rFonts w:cs="Arial"/>
              </w:rPr>
              <w:t xml:space="preserve"> (£m)</w:t>
            </w:r>
          </w:p>
          <w:p w:rsidR="009D070D" w:rsidRPr="009D070D" w:rsidRDefault="009D070D" w:rsidP="009D070D">
            <w:pPr>
              <w:tabs>
                <w:tab w:val="left" w:pos="567"/>
                <w:tab w:val="left" w:pos="1134"/>
              </w:tabs>
              <w:spacing w:after="0"/>
              <w:jc w:val="left"/>
              <w:rPr>
                <w:rFonts w:cs="Arial"/>
              </w:rPr>
            </w:pPr>
          </w:p>
        </w:tc>
        <w:tc>
          <w:tcPr>
            <w:tcW w:w="1134" w:type="dxa"/>
            <w:vAlign w:val="center"/>
          </w:tcPr>
          <w:p w:rsidR="009D070D" w:rsidRPr="009D070D" w:rsidRDefault="009D070D" w:rsidP="009D070D">
            <w:pPr>
              <w:tabs>
                <w:tab w:val="left" w:pos="567"/>
                <w:tab w:val="left" w:pos="1134"/>
              </w:tabs>
              <w:spacing w:after="0"/>
              <w:jc w:val="center"/>
              <w:rPr>
                <w:rFonts w:cs="Arial"/>
              </w:rPr>
            </w:pPr>
          </w:p>
        </w:tc>
        <w:tc>
          <w:tcPr>
            <w:tcW w:w="993" w:type="dxa"/>
            <w:vAlign w:val="center"/>
          </w:tcPr>
          <w:p w:rsidR="009D070D" w:rsidRPr="009D070D" w:rsidRDefault="009D070D" w:rsidP="009D070D">
            <w:pPr>
              <w:tabs>
                <w:tab w:val="left" w:pos="567"/>
                <w:tab w:val="left" w:pos="1134"/>
              </w:tabs>
              <w:spacing w:after="0"/>
              <w:jc w:val="center"/>
              <w:rPr>
                <w:rFonts w:cs="Arial"/>
              </w:rPr>
            </w:pPr>
          </w:p>
        </w:tc>
        <w:tc>
          <w:tcPr>
            <w:tcW w:w="1134" w:type="dxa"/>
            <w:vAlign w:val="center"/>
          </w:tcPr>
          <w:p w:rsidR="009D070D" w:rsidRPr="009D070D" w:rsidRDefault="009D070D" w:rsidP="009D070D">
            <w:pPr>
              <w:tabs>
                <w:tab w:val="left" w:pos="567"/>
                <w:tab w:val="left" w:pos="1134"/>
              </w:tabs>
              <w:spacing w:after="0"/>
              <w:jc w:val="center"/>
              <w:rPr>
                <w:rFonts w:cs="Arial"/>
              </w:rPr>
            </w:pPr>
            <w:r w:rsidRPr="009D070D">
              <w:rPr>
                <w:rFonts w:cs="Arial"/>
              </w:rPr>
              <w:t>56.0</w:t>
            </w:r>
          </w:p>
        </w:tc>
        <w:tc>
          <w:tcPr>
            <w:tcW w:w="1134" w:type="dxa"/>
            <w:vAlign w:val="center"/>
          </w:tcPr>
          <w:p w:rsidR="009D070D" w:rsidRPr="009D070D" w:rsidRDefault="009D070D" w:rsidP="009D070D">
            <w:pPr>
              <w:tabs>
                <w:tab w:val="left" w:pos="567"/>
                <w:tab w:val="left" w:pos="1134"/>
              </w:tabs>
              <w:spacing w:after="0"/>
              <w:jc w:val="center"/>
              <w:rPr>
                <w:rFonts w:cs="Arial"/>
              </w:rPr>
            </w:pPr>
            <w:r w:rsidRPr="009D070D">
              <w:rPr>
                <w:rFonts w:cs="Arial"/>
              </w:rPr>
              <w:t>56.0</w:t>
            </w:r>
          </w:p>
        </w:tc>
        <w:tc>
          <w:tcPr>
            <w:tcW w:w="992" w:type="dxa"/>
            <w:vAlign w:val="center"/>
          </w:tcPr>
          <w:p w:rsidR="009D070D" w:rsidRPr="009D070D" w:rsidRDefault="009D070D" w:rsidP="009D070D">
            <w:pPr>
              <w:tabs>
                <w:tab w:val="left" w:pos="567"/>
                <w:tab w:val="left" w:pos="1134"/>
              </w:tabs>
              <w:spacing w:after="0"/>
              <w:jc w:val="center"/>
              <w:rPr>
                <w:rFonts w:cs="Arial"/>
              </w:rPr>
            </w:pPr>
            <w:r w:rsidRPr="009D070D">
              <w:rPr>
                <w:rFonts w:cs="Arial"/>
              </w:rPr>
              <w:t>56.0</w:t>
            </w:r>
          </w:p>
        </w:tc>
        <w:tc>
          <w:tcPr>
            <w:tcW w:w="992" w:type="dxa"/>
            <w:tcBorders>
              <w:top w:val="nil"/>
              <w:bottom w:val="nil"/>
            </w:tcBorders>
            <w:vAlign w:val="center"/>
          </w:tcPr>
          <w:p w:rsidR="009D070D" w:rsidRPr="009D070D" w:rsidRDefault="009D070D" w:rsidP="009D070D">
            <w:pPr>
              <w:tabs>
                <w:tab w:val="left" w:pos="567"/>
                <w:tab w:val="left" w:pos="1134"/>
              </w:tabs>
              <w:spacing w:after="0"/>
              <w:jc w:val="center"/>
              <w:rPr>
                <w:rFonts w:cs="Arial"/>
                <w:b/>
              </w:rPr>
            </w:pPr>
          </w:p>
        </w:tc>
      </w:tr>
      <w:tr w:rsidR="009D070D" w:rsidRPr="009D070D" w:rsidTr="009D070D">
        <w:trPr>
          <w:trHeight w:val="255"/>
        </w:trPr>
        <w:tc>
          <w:tcPr>
            <w:tcW w:w="2830" w:type="dxa"/>
            <w:vAlign w:val="center"/>
          </w:tcPr>
          <w:p w:rsidR="009D070D" w:rsidRDefault="009D070D" w:rsidP="009D070D">
            <w:pPr>
              <w:tabs>
                <w:tab w:val="left" w:pos="567"/>
                <w:tab w:val="left" w:pos="1134"/>
              </w:tabs>
              <w:spacing w:after="0"/>
              <w:jc w:val="left"/>
              <w:rPr>
                <w:rFonts w:cs="Arial"/>
              </w:rPr>
            </w:pPr>
          </w:p>
          <w:p w:rsidR="009D070D" w:rsidRDefault="009D070D" w:rsidP="003F3017">
            <w:pPr>
              <w:tabs>
                <w:tab w:val="left" w:pos="567"/>
                <w:tab w:val="left" w:pos="1134"/>
              </w:tabs>
              <w:spacing w:after="0"/>
              <w:rPr>
                <w:rFonts w:cs="Arial"/>
              </w:rPr>
            </w:pPr>
            <w:r>
              <w:rPr>
                <w:rFonts w:cs="Arial"/>
              </w:rPr>
              <w:t>2019/20</w:t>
            </w:r>
            <w:r w:rsidR="003F3017">
              <w:rPr>
                <w:rFonts w:cs="Arial"/>
              </w:rPr>
              <w:t xml:space="preserve"> (£m)</w:t>
            </w:r>
          </w:p>
          <w:p w:rsidR="009D070D" w:rsidRPr="009D070D" w:rsidRDefault="009D070D" w:rsidP="009D070D">
            <w:pPr>
              <w:tabs>
                <w:tab w:val="left" w:pos="567"/>
                <w:tab w:val="left" w:pos="1134"/>
              </w:tabs>
              <w:spacing w:after="0"/>
              <w:jc w:val="left"/>
              <w:rPr>
                <w:rFonts w:cs="Arial"/>
              </w:rPr>
            </w:pPr>
          </w:p>
        </w:tc>
        <w:tc>
          <w:tcPr>
            <w:tcW w:w="1134" w:type="dxa"/>
            <w:vAlign w:val="center"/>
          </w:tcPr>
          <w:p w:rsidR="009D070D" w:rsidRPr="009D070D" w:rsidRDefault="009D070D" w:rsidP="009D070D">
            <w:pPr>
              <w:tabs>
                <w:tab w:val="left" w:pos="567"/>
                <w:tab w:val="left" w:pos="1134"/>
              </w:tabs>
              <w:spacing w:after="0"/>
              <w:jc w:val="center"/>
              <w:rPr>
                <w:rFonts w:cs="Arial"/>
              </w:rPr>
            </w:pPr>
          </w:p>
        </w:tc>
        <w:tc>
          <w:tcPr>
            <w:tcW w:w="993" w:type="dxa"/>
            <w:vAlign w:val="center"/>
          </w:tcPr>
          <w:p w:rsidR="009D070D" w:rsidRPr="009D070D" w:rsidRDefault="009D070D" w:rsidP="009D070D">
            <w:pPr>
              <w:tabs>
                <w:tab w:val="left" w:pos="567"/>
                <w:tab w:val="left" w:pos="1134"/>
              </w:tabs>
              <w:spacing w:after="0"/>
              <w:jc w:val="center"/>
              <w:rPr>
                <w:rFonts w:cs="Arial"/>
              </w:rPr>
            </w:pPr>
          </w:p>
        </w:tc>
        <w:tc>
          <w:tcPr>
            <w:tcW w:w="1134" w:type="dxa"/>
            <w:vAlign w:val="center"/>
          </w:tcPr>
          <w:p w:rsidR="009D070D" w:rsidRPr="009D070D" w:rsidRDefault="009D070D" w:rsidP="009D070D">
            <w:pPr>
              <w:tabs>
                <w:tab w:val="left" w:pos="567"/>
                <w:tab w:val="left" w:pos="1134"/>
              </w:tabs>
              <w:spacing w:after="0"/>
              <w:jc w:val="center"/>
              <w:rPr>
                <w:rFonts w:cs="Arial"/>
              </w:rPr>
            </w:pPr>
          </w:p>
        </w:tc>
        <w:tc>
          <w:tcPr>
            <w:tcW w:w="1134" w:type="dxa"/>
            <w:vAlign w:val="center"/>
          </w:tcPr>
          <w:p w:rsidR="009D070D" w:rsidRPr="009D070D" w:rsidRDefault="009D070D" w:rsidP="009D070D">
            <w:pPr>
              <w:tabs>
                <w:tab w:val="left" w:pos="567"/>
                <w:tab w:val="left" w:pos="1134"/>
              </w:tabs>
              <w:spacing w:after="0"/>
              <w:jc w:val="center"/>
              <w:rPr>
                <w:rFonts w:cs="Arial"/>
              </w:rPr>
            </w:pPr>
            <w:r w:rsidRPr="009D070D">
              <w:rPr>
                <w:rFonts w:cs="Arial"/>
              </w:rPr>
              <w:t>47.6</w:t>
            </w:r>
          </w:p>
        </w:tc>
        <w:tc>
          <w:tcPr>
            <w:tcW w:w="992" w:type="dxa"/>
            <w:vAlign w:val="center"/>
          </w:tcPr>
          <w:p w:rsidR="009D070D" w:rsidRPr="009D070D" w:rsidRDefault="009D070D" w:rsidP="009D070D">
            <w:pPr>
              <w:tabs>
                <w:tab w:val="left" w:pos="567"/>
                <w:tab w:val="left" w:pos="1134"/>
              </w:tabs>
              <w:spacing w:after="0"/>
              <w:jc w:val="center"/>
              <w:rPr>
                <w:rFonts w:cs="Arial"/>
              </w:rPr>
            </w:pPr>
            <w:r w:rsidRPr="009D070D">
              <w:rPr>
                <w:rFonts w:cs="Arial"/>
              </w:rPr>
              <w:t>47.6</w:t>
            </w:r>
          </w:p>
        </w:tc>
        <w:tc>
          <w:tcPr>
            <w:tcW w:w="992" w:type="dxa"/>
            <w:tcBorders>
              <w:top w:val="nil"/>
              <w:bottom w:val="nil"/>
            </w:tcBorders>
            <w:vAlign w:val="center"/>
          </w:tcPr>
          <w:p w:rsidR="009D070D" w:rsidRPr="009D070D" w:rsidRDefault="009D070D" w:rsidP="009D070D">
            <w:pPr>
              <w:tabs>
                <w:tab w:val="left" w:pos="567"/>
                <w:tab w:val="left" w:pos="1134"/>
              </w:tabs>
              <w:spacing w:after="0"/>
              <w:jc w:val="center"/>
              <w:rPr>
                <w:rFonts w:cs="Arial"/>
                <w:b/>
              </w:rPr>
            </w:pPr>
          </w:p>
        </w:tc>
      </w:tr>
      <w:tr w:rsidR="009D070D" w:rsidRPr="009D070D" w:rsidTr="009D070D">
        <w:trPr>
          <w:trHeight w:val="255"/>
        </w:trPr>
        <w:tc>
          <w:tcPr>
            <w:tcW w:w="2830" w:type="dxa"/>
            <w:vAlign w:val="center"/>
          </w:tcPr>
          <w:p w:rsidR="009D070D" w:rsidRDefault="009D070D" w:rsidP="009D070D">
            <w:pPr>
              <w:tabs>
                <w:tab w:val="left" w:pos="567"/>
                <w:tab w:val="left" w:pos="1134"/>
              </w:tabs>
              <w:spacing w:after="0"/>
              <w:jc w:val="left"/>
              <w:rPr>
                <w:rFonts w:cs="Arial"/>
              </w:rPr>
            </w:pPr>
          </w:p>
          <w:p w:rsidR="009D070D" w:rsidRDefault="009D070D" w:rsidP="003F3017">
            <w:pPr>
              <w:tabs>
                <w:tab w:val="left" w:pos="567"/>
                <w:tab w:val="left" w:pos="1134"/>
              </w:tabs>
              <w:spacing w:after="0"/>
              <w:rPr>
                <w:rFonts w:cs="Arial"/>
              </w:rPr>
            </w:pPr>
            <w:r>
              <w:rPr>
                <w:rFonts w:cs="Arial"/>
              </w:rPr>
              <w:t>2020/21</w:t>
            </w:r>
            <w:r w:rsidR="003F3017">
              <w:rPr>
                <w:rFonts w:cs="Arial"/>
              </w:rPr>
              <w:t xml:space="preserve"> (£m)</w:t>
            </w:r>
          </w:p>
          <w:p w:rsidR="009D070D" w:rsidRPr="009D070D" w:rsidRDefault="009D070D" w:rsidP="009D070D">
            <w:pPr>
              <w:tabs>
                <w:tab w:val="left" w:pos="567"/>
                <w:tab w:val="left" w:pos="1134"/>
              </w:tabs>
              <w:spacing w:after="0"/>
              <w:jc w:val="left"/>
              <w:rPr>
                <w:rFonts w:cs="Arial"/>
              </w:rPr>
            </w:pPr>
          </w:p>
        </w:tc>
        <w:tc>
          <w:tcPr>
            <w:tcW w:w="1134" w:type="dxa"/>
            <w:vAlign w:val="center"/>
          </w:tcPr>
          <w:p w:rsidR="009D070D" w:rsidRPr="009D070D" w:rsidRDefault="009D070D" w:rsidP="009D070D">
            <w:pPr>
              <w:tabs>
                <w:tab w:val="left" w:pos="567"/>
                <w:tab w:val="left" w:pos="1134"/>
              </w:tabs>
              <w:spacing w:after="0"/>
              <w:jc w:val="center"/>
              <w:rPr>
                <w:rFonts w:cs="Arial"/>
              </w:rPr>
            </w:pPr>
          </w:p>
        </w:tc>
        <w:tc>
          <w:tcPr>
            <w:tcW w:w="993" w:type="dxa"/>
            <w:vAlign w:val="center"/>
          </w:tcPr>
          <w:p w:rsidR="009D070D" w:rsidRPr="009D070D" w:rsidRDefault="009D070D" w:rsidP="009D070D">
            <w:pPr>
              <w:tabs>
                <w:tab w:val="left" w:pos="567"/>
                <w:tab w:val="left" w:pos="1134"/>
              </w:tabs>
              <w:spacing w:after="0"/>
              <w:jc w:val="center"/>
              <w:rPr>
                <w:rFonts w:cs="Arial"/>
              </w:rPr>
            </w:pPr>
          </w:p>
        </w:tc>
        <w:tc>
          <w:tcPr>
            <w:tcW w:w="1134" w:type="dxa"/>
            <w:vAlign w:val="center"/>
          </w:tcPr>
          <w:p w:rsidR="009D070D" w:rsidRPr="009D070D" w:rsidRDefault="009D070D" w:rsidP="009D070D">
            <w:pPr>
              <w:tabs>
                <w:tab w:val="left" w:pos="567"/>
                <w:tab w:val="left" w:pos="1134"/>
              </w:tabs>
              <w:spacing w:after="0"/>
              <w:jc w:val="center"/>
              <w:rPr>
                <w:rFonts w:cs="Arial"/>
              </w:rPr>
            </w:pPr>
          </w:p>
        </w:tc>
        <w:tc>
          <w:tcPr>
            <w:tcW w:w="1134" w:type="dxa"/>
            <w:vAlign w:val="center"/>
          </w:tcPr>
          <w:p w:rsidR="009D070D" w:rsidRPr="009D070D" w:rsidRDefault="009D070D" w:rsidP="009D070D">
            <w:pPr>
              <w:tabs>
                <w:tab w:val="left" w:pos="567"/>
                <w:tab w:val="left" w:pos="1134"/>
              </w:tabs>
              <w:spacing w:after="0"/>
              <w:jc w:val="center"/>
              <w:rPr>
                <w:rFonts w:cs="Arial"/>
              </w:rPr>
            </w:pPr>
          </w:p>
        </w:tc>
        <w:tc>
          <w:tcPr>
            <w:tcW w:w="992" w:type="dxa"/>
            <w:vAlign w:val="center"/>
          </w:tcPr>
          <w:p w:rsidR="009D070D" w:rsidRPr="009D070D" w:rsidRDefault="009D070D" w:rsidP="009D070D">
            <w:pPr>
              <w:tabs>
                <w:tab w:val="left" w:pos="567"/>
                <w:tab w:val="left" w:pos="1134"/>
              </w:tabs>
              <w:spacing w:after="0"/>
              <w:jc w:val="center"/>
              <w:rPr>
                <w:rFonts w:cs="Arial"/>
              </w:rPr>
            </w:pPr>
            <w:r w:rsidRPr="009D070D">
              <w:rPr>
                <w:rFonts w:cs="Arial"/>
              </w:rPr>
              <w:t>46.3</w:t>
            </w:r>
          </w:p>
        </w:tc>
        <w:tc>
          <w:tcPr>
            <w:tcW w:w="992" w:type="dxa"/>
            <w:tcBorders>
              <w:top w:val="nil"/>
              <w:bottom w:val="nil"/>
            </w:tcBorders>
            <w:vAlign w:val="center"/>
          </w:tcPr>
          <w:p w:rsidR="009D070D" w:rsidRPr="009D070D" w:rsidRDefault="009D070D" w:rsidP="009D070D">
            <w:pPr>
              <w:tabs>
                <w:tab w:val="left" w:pos="567"/>
                <w:tab w:val="left" w:pos="1134"/>
              </w:tabs>
              <w:spacing w:after="0"/>
              <w:jc w:val="center"/>
              <w:rPr>
                <w:rFonts w:cs="Arial"/>
                <w:b/>
              </w:rPr>
            </w:pPr>
          </w:p>
        </w:tc>
      </w:tr>
      <w:tr w:rsidR="009D070D" w:rsidRPr="009D070D" w:rsidTr="009D070D">
        <w:trPr>
          <w:trHeight w:val="255"/>
        </w:trPr>
        <w:tc>
          <w:tcPr>
            <w:tcW w:w="2830" w:type="dxa"/>
            <w:vAlign w:val="center"/>
          </w:tcPr>
          <w:p w:rsidR="009D070D" w:rsidRDefault="009D070D" w:rsidP="009D070D">
            <w:pPr>
              <w:tabs>
                <w:tab w:val="left" w:pos="567"/>
                <w:tab w:val="left" w:pos="1134"/>
              </w:tabs>
              <w:spacing w:after="0"/>
              <w:jc w:val="left"/>
              <w:rPr>
                <w:rFonts w:cs="Arial"/>
              </w:rPr>
            </w:pPr>
          </w:p>
          <w:p w:rsidR="009D070D" w:rsidRDefault="009D070D" w:rsidP="003F3017">
            <w:pPr>
              <w:tabs>
                <w:tab w:val="left" w:pos="567"/>
                <w:tab w:val="left" w:pos="1134"/>
              </w:tabs>
              <w:spacing w:after="0"/>
              <w:rPr>
                <w:rFonts w:cs="Arial"/>
              </w:rPr>
            </w:pPr>
            <w:r>
              <w:rPr>
                <w:rFonts w:cs="Arial"/>
              </w:rPr>
              <w:t>Total</w:t>
            </w:r>
            <w:r w:rsidR="003F3017">
              <w:rPr>
                <w:rFonts w:cs="Arial"/>
              </w:rPr>
              <w:t xml:space="preserve"> (£m)</w:t>
            </w:r>
          </w:p>
          <w:p w:rsidR="009D070D" w:rsidRPr="009D070D" w:rsidRDefault="009D070D" w:rsidP="009D070D">
            <w:pPr>
              <w:tabs>
                <w:tab w:val="left" w:pos="567"/>
                <w:tab w:val="left" w:pos="1134"/>
              </w:tabs>
              <w:spacing w:after="0"/>
              <w:jc w:val="left"/>
              <w:rPr>
                <w:rFonts w:cs="Arial"/>
              </w:rPr>
            </w:pPr>
          </w:p>
        </w:tc>
        <w:tc>
          <w:tcPr>
            <w:tcW w:w="1134" w:type="dxa"/>
            <w:vAlign w:val="center"/>
          </w:tcPr>
          <w:p w:rsidR="009D070D" w:rsidRPr="009D070D" w:rsidRDefault="002A501C" w:rsidP="001E61E6">
            <w:pPr>
              <w:tabs>
                <w:tab w:val="left" w:pos="567"/>
                <w:tab w:val="left" w:pos="1134"/>
              </w:tabs>
              <w:spacing w:after="0"/>
              <w:jc w:val="center"/>
              <w:rPr>
                <w:rFonts w:cs="Arial"/>
              </w:rPr>
            </w:pPr>
            <w:r>
              <w:rPr>
                <w:rFonts w:cs="Arial"/>
              </w:rPr>
              <w:t>9</w:t>
            </w:r>
            <w:r w:rsidR="001E61E6">
              <w:rPr>
                <w:rFonts w:cs="Arial"/>
              </w:rPr>
              <w:t>0</w:t>
            </w:r>
            <w:r>
              <w:rPr>
                <w:rFonts w:cs="Arial"/>
              </w:rPr>
              <w:t>.2</w:t>
            </w:r>
          </w:p>
        </w:tc>
        <w:tc>
          <w:tcPr>
            <w:tcW w:w="993" w:type="dxa"/>
            <w:vAlign w:val="center"/>
          </w:tcPr>
          <w:p w:rsidR="009D070D" w:rsidRPr="009D070D" w:rsidRDefault="00BE3503" w:rsidP="00B77473">
            <w:pPr>
              <w:tabs>
                <w:tab w:val="left" w:pos="567"/>
                <w:tab w:val="left" w:pos="1134"/>
              </w:tabs>
              <w:spacing w:after="0"/>
              <w:jc w:val="center"/>
              <w:rPr>
                <w:rFonts w:cs="Arial"/>
              </w:rPr>
            </w:pPr>
            <w:r>
              <w:rPr>
                <w:rFonts w:cs="Arial"/>
              </w:rPr>
              <w:t>11</w:t>
            </w:r>
            <w:r w:rsidR="00B77473">
              <w:rPr>
                <w:rFonts w:cs="Arial"/>
              </w:rPr>
              <w:t>2.1</w:t>
            </w:r>
          </w:p>
        </w:tc>
        <w:tc>
          <w:tcPr>
            <w:tcW w:w="1134" w:type="dxa"/>
            <w:vAlign w:val="center"/>
          </w:tcPr>
          <w:p w:rsidR="009D070D" w:rsidRPr="009D070D" w:rsidRDefault="00B77473" w:rsidP="00AE1BFE">
            <w:pPr>
              <w:tabs>
                <w:tab w:val="left" w:pos="567"/>
                <w:tab w:val="left" w:pos="1134"/>
              </w:tabs>
              <w:spacing w:after="0"/>
              <w:jc w:val="center"/>
              <w:rPr>
                <w:rFonts w:cs="Arial"/>
              </w:rPr>
            </w:pPr>
            <w:r>
              <w:rPr>
                <w:rFonts w:cs="Arial"/>
              </w:rPr>
              <w:t>168.1</w:t>
            </w:r>
          </w:p>
        </w:tc>
        <w:tc>
          <w:tcPr>
            <w:tcW w:w="1134" w:type="dxa"/>
            <w:vAlign w:val="center"/>
          </w:tcPr>
          <w:p w:rsidR="009D070D" w:rsidRPr="009D070D" w:rsidRDefault="00B77473" w:rsidP="00AE1BFE">
            <w:pPr>
              <w:tabs>
                <w:tab w:val="left" w:pos="567"/>
                <w:tab w:val="left" w:pos="1134"/>
              </w:tabs>
              <w:spacing w:after="0"/>
              <w:jc w:val="center"/>
              <w:rPr>
                <w:rFonts w:cs="Arial"/>
              </w:rPr>
            </w:pPr>
            <w:r>
              <w:rPr>
                <w:rFonts w:cs="Arial"/>
              </w:rPr>
              <w:t>215.7</w:t>
            </w:r>
          </w:p>
        </w:tc>
        <w:tc>
          <w:tcPr>
            <w:tcW w:w="992" w:type="dxa"/>
            <w:vAlign w:val="center"/>
          </w:tcPr>
          <w:p w:rsidR="009D070D" w:rsidRPr="009D070D" w:rsidRDefault="00B77473" w:rsidP="00B77473">
            <w:pPr>
              <w:tabs>
                <w:tab w:val="left" w:pos="567"/>
                <w:tab w:val="left" w:pos="1134"/>
              </w:tabs>
              <w:spacing w:after="0"/>
              <w:jc w:val="center"/>
              <w:rPr>
                <w:rFonts w:cs="Arial"/>
              </w:rPr>
            </w:pPr>
            <w:r>
              <w:rPr>
                <w:rFonts w:cs="Arial"/>
              </w:rPr>
              <w:t>262.0</w:t>
            </w:r>
          </w:p>
        </w:tc>
        <w:tc>
          <w:tcPr>
            <w:tcW w:w="992" w:type="dxa"/>
            <w:tcBorders>
              <w:top w:val="nil"/>
            </w:tcBorders>
            <w:vAlign w:val="center"/>
          </w:tcPr>
          <w:p w:rsidR="009D070D" w:rsidRPr="009D070D" w:rsidRDefault="00B77473" w:rsidP="000A339D">
            <w:pPr>
              <w:tabs>
                <w:tab w:val="left" w:pos="567"/>
                <w:tab w:val="left" w:pos="1134"/>
              </w:tabs>
              <w:spacing w:after="0"/>
              <w:jc w:val="center"/>
              <w:rPr>
                <w:rFonts w:cs="Arial"/>
                <w:b/>
              </w:rPr>
            </w:pPr>
            <w:r>
              <w:rPr>
                <w:rFonts w:cs="Arial"/>
                <w:b/>
              </w:rPr>
              <w:t>8</w:t>
            </w:r>
            <w:r w:rsidR="000A339D">
              <w:rPr>
                <w:rFonts w:cs="Arial"/>
                <w:b/>
              </w:rPr>
              <w:t>48.1</w:t>
            </w:r>
          </w:p>
        </w:tc>
      </w:tr>
    </w:tbl>
    <w:p w:rsidR="00696A7C" w:rsidRDefault="00696A7C" w:rsidP="00956265">
      <w:pPr>
        <w:tabs>
          <w:tab w:val="left" w:pos="567"/>
          <w:tab w:val="left" w:pos="1134"/>
        </w:tabs>
        <w:rPr>
          <w:rFonts w:cs="Arial"/>
          <w:highlight w:val="green"/>
        </w:rPr>
      </w:pPr>
    </w:p>
    <w:p w:rsidR="00E644C2" w:rsidRDefault="00E644C2" w:rsidP="00956265">
      <w:pPr>
        <w:tabs>
          <w:tab w:val="left" w:pos="567"/>
          <w:tab w:val="left" w:pos="1134"/>
        </w:tabs>
        <w:rPr>
          <w:rFonts w:cs="Arial"/>
          <w:color w:val="auto"/>
        </w:rPr>
      </w:pPr>
      <w:r w:rsidRPr="00122E8D">
        <w:rPr>
          <w:rFonts w:cs="Arial"/>
          <w:color w:val="auto"/>
        </w:rPr>
        <w:t xml:space="preserve">This shows </w:t>
      </w:r>
      <w:r w:rsidR="00E016F2">
        <w:rPr>
          <w:rFonts w:cs="Arial"/>
          <w:color w:val="auto"/>
        </w:rPr>
        <w:t xml:space="preserve">an increase in the forecast </w:t>
      </w:r>
      <w:r w:rsidRPr="00122E8D">
        <w:rPr>
          <w:rFonts w:cs="Arial"/>
          <w:color w:val="auto"/>
        </w:rPr>
        <w:t>funding gap</w:t>
      </w:r>
      <w:r w:rsidR="00E016F2">
        <w:rPr>
          <w:rFonts w:cs="Arial"/>
          <w:color w:val="auto"/>
        </w:rPr>
        <w:t xml:space="preserve"> </w:t>
      </w:r>
      <w:r w:rsidR="00E016F2" w:rsidRPr="00AF5B56">
        <w:rPr>
          <w:rFonts w:cs="Arial"/>
          <w:color w:val="auto"/>
        </w:rPr>
        <w:t>of £</w:t>
      </w:r>
      <w:r w:rsidR="002A501C">
        <w:rPr>
          <w:rFonts w:cs="Arial"/>
          <w:color w:val="auto"/>
        </w:rPr>
        <w:t>38.8</w:t>
      </w:r>
      <w:r w:rsidR="00AF5B56">
        <w:rPr>
          <w:rFonts w:cs="Arial"/>
          <w:color w:val="auto"/>
        </w:rPr>
        <w:t>m</w:t>
      </w:r>
      <w:r w:rsidR="007F3C40" w:rsidRPr="00122E8D">
        <w:rPr>
          <w:rFonts w:cs="Arial"/>
          <w:color w:val="auto"/>
        </w:rPr>
        <w:t xml:space="preserve"> since the previous report. This increase </w:t>
      </w:r>
      <w:r w:rsidRPr="00122E8D">
        <w:rPr>
          <w:rFonts w:cs="Arial"/>
          <w:color w:val="auto"/>
        </w:rPr>
        <w:t>is</w:t>
      </w:r>
      <w:r>
        <w:rPr>
          <w:rFonts w:cs="Arial"/>
          <w:color w:val="auto"/>
        </w:rPr>
        <w:t xml:space="preserve"> made up of a number of changes as </w:t>
      </w:r>
      <w:r w:rsidR="00122E8D">
        <w:rPr>
          <w:rFonts w:cs="Arial"/>
          <w:color w:val="auto"/>
        </w:rPr>
        <w:t xml:space="preserve">shown </w:t>
      </w:r>
      <w:r>
        <w:rPr>
          <w:rFonts w:cs="Arial"/>
          <w:color w:val="auto"/>
        </w:rPr>
        <w:t>below:</w:t>
      </w:r>
    </w:p>
    <w:p w:rsidR="00E016F2" w:rsidRDefault="00E016F2" w:rsidP="00956265">
      <w:pPr>
        <w:tabs>
          <w:tab w:val="left" w:pos="567"/>
          <w:tab w:val="left" w:pos="1134"/>
        </w:tabs>
        <w:rPr>
          <w:rFonts w:cs="Arial"/>
          <w:color w:val="auto"/>
        </w:rPr>
      </w:pPr>
    </w:p>
    <w:tbl>
      <w:tblPr>
        <w:tblStyle w:val="TableGrid"/>
        <w:tblW w:w="9209" w:type="dxa"/>
        <w:tblLook w:val="04A0" w:firstRow="1" w:lastRow="0" w:firstColumn="1" w:lastColumn="0" w:noHBand="0" w:noVBand="1"/>
      </w:tblPr>
      <w:tblGrid>
        <w:gridCol w:w="2779"/>
        <w:gridCol w:w="1084"/>
        <w:gridCol w:w="1084"/>
        <w:gridCol w:w="1084"/>
        <w:gridCol w:w="1084"/>
        <w:gridCol w:w="1084"/>
        <w:gridCol w:w="1010"/>
      </w:tblGrid>
      <w:tr w:rsidR="00696A7C" w:rsidRPr="00333713" w:rsidTr="002A03A8">
        <w:tc>
          <w:tcPr>
            <w:tcW w:w="0" w:type="auto"/>
            <w:shd w:val="clear" w:color="auto" w:fill="D9D9D9" w:themeFill="background1" w:themeFillShade="D9"/>
          </w:tcPr>
          <w:p w:rsidR="00696A7C" w:rsidRPr="009D070D" w:rsidRDefault="00696A7C" w:rsidP="003D58F1">
            <w:pPr>
              <w:tabs>
                <w:tab w:val="left" w:pos="567"/>
                <w:tab w:val="left" w:pos="1134"/>
              </w:tabs>
              <w:spacing w:after="0"/>
              <w:rPr>
                <w:rFonts w:cs="Arial"/>
                <w:highlight w:val="green"/>
              </w:rPr>
            </w:pPr>
          </w:p>
        </w:tc>
        <w:tc>
          <w:tcPr>
            <w:tcW w:w="0" w:type="auto"/>
            <w:shd w:val="clear" w:color="auto" w:fill="D9D9D9" w:themeFill="background1" w:themeFillShade="D9"/>
            <w:vAlign w:val="center"/>
          </w:tcPr>
          <w:p w:rsidR="00696A7C" w:rsidRPr="009D070D" w:rsidRDefault="00696A7C" w:rsidP="003D58F1">
            <w:pPr>
              <w:tabs>
                <w:tab w:val="left" w:pos="567"/>
                <w:tab w:val="left" w:pos="1134"/>
              </w:tabs>
              <w:spacing w:after="0"/>
              <w:jc w:val="center"/>
              <w:rPr>
                <w:rFonts w:cs="Arial"/>
                <w:b/>
                <w:highlight w:val="lightGray"/>
              </w:rPr>
            </w:pPr>
            <w:r w:rsidRPr="009D070D">
              <w:rPr>
                <w:rFonts w:cs="Arial"/>
                <w:b/>
                <w:highlight w:val="lightGray"/>
              </w:rPr>
              <w:t>2016/17</w:t>
            </w:r>
          </w:p>
          <w:p w:rsidR="00122E8D" w:rsidRPr="009D070D" w:rsidRDefault="00122E8D" w:rsidP="003D58F1">
            <w:pPr>
              <w:tabs>
                <w:tab w:val="left" w:pos="567"/>
                <w:tab w:val="left" w:pos="1134"/>
              </w:tabs>
              <w:spacing w:after="0"/>
              <w:jc w:val="center"/>
              <w:rPr>
                <w:rFonts w:cs="Arial"/>
                <w:b/>
                <w:highlight w:val="lightGray"/>
              </w:rPr>
            </w:pPr>
            <w:r w:rsidRPr="009D070D">
              <w:rPr>
                <w:rFonts w:cs="Arial"/>
                <w:b/>
                <w:highlight w:val="lightGray"/>
              </w:rPr>
              <w:t>£m</w:t>
            </w:r>
          </w:p>
        </w:tc>
        <w:tc>
          <w:tcPr>
            <w:tcW w:w="0" w:type="auto"/>
            <w:shd w:val="clear" w:color="auto" w:fill="D9D9D9" w:themeFill="background1" w:themeFillShade="D9"/>
            <w:vAlign w:val="center"/>
          </w:tcPr>
          <w:p w:rsidR="00696A7C" w:rsidRPr="009D070D" w:rsidRDefault="00696A7C" w:rsidP="003D58F1">
            <w:pPr>
              <w:tabs>
                <w:tab w:val="left" w:pos="567"/>
                <w:tab w:val="left" w:pos="1134"/>
              </w:tabs>
              <w:spacing w:after="0"/>
              <w:jc w:val="center"/>
              <w:rPr>
                <w:rFonts w:cs="Arial"/>
                <w:b/>
                <w:highlight w:val="lightGray"/>
              </w:rPr>
            </w:pPr>
            <w:r w:rsidRPr="009D070D">
              <w:rPr>
                <w:rFonts w:cs="Arial"/>
                <w:b/>
                <w:highlight w:val="lightGray"/>
              </w:rPr>
              <w:t>2017/18</w:t>
            </w:r>
          </w:p>
          <w:p w:rsidR="00122E8D" w:rsidRPr="009D070D" w:rsidRDefault="00122E8D" w:rsidP="003D58F1">
            <w:pPr>
              <w:tabs>
                <w:tab w:val="left" w:pos="567"/>
                <w:tab w:val="left" w:pos="1134"/>
              </w:tabs>
              <w:spacing w:after="0"/>
              <w:jc w:val="center"/>
              <w:rPr>
                <w:rFonts w:cs="Arial"/>
                <w:b/>
                <w:highlight w:val="lightGray"/>
              </w:rPr>
            </w:pPr>
            <w:r w:rsidRPr="009D070D">
              <w:rPr>
                <w:rFonts w:cs="Arial"/>
                <w:b/>
                <w:highlight w:val="lightGray"/>
              </w:rPr>
              <w:t>£m</w:t>
            </w:r>
          </w:p>
        </w:tc>
        <w:tc>
          <w:tcPr>
            <w:tcW w:w="0" w:type="auto"/>
            <w:shd w:val="clear" w:color="auto" w:fill="D9D9D9" w:themeFill="background1" w:themeFillShade="D9"/>
            <w:vAlign w:val="center"/>
          </w:tcPr>
          <w:p w:rsidR="00696A7C" w:rsidRPr="009D070D" w:rsidRDefault="00696A7C" w:rsidP="003D58F1">
            <w:pPr>
              <w:tabs>
                <w:tab w:val="left" w:pos="567"/>
                <w:tab w:val="left" w:pos="1134"/>
              </w:tabs>
              <w:spacing w:after="0"/>
              <w:jc w:val="center"/>
              <w:rPr>
                <w:rFonts w:cs="Arial"/>
                <w:b/>
                <w:highlight w:val="lightGray"/>
              </w:rPr>
            </w:pPr>
            <w:r w:rsidRPr="009D070D">
              <w:rPr>
                <w:rFonts w:cs="Arial"/>
                <w:b/>
                <w:highlight w:val="lightGray"/>
              </w:rPr>
              <w:t>2018/19</w:t>
            </w:r>
          </w:p>
          <w:p w:rsidR="00122E8D" w:rsidRPr="009D070D" w:rsidRDefault="00122E8D" w:rsidP="003D58F1">
            <w:pPr>
              <w:tabs>
                <w:tab w:val="left" w:pos="567"/>
                <w:tab w:val="left" w:pos="1134"/>
              </w:tabs>
              <w:spacing w:after="0"/>
              <w:jc w:val="center"/>
              <w:rPr>
                <w:rFonts w:cs="Arial"/>
                <w:b/>
                <w:highlight w:val="lightGray"/>
              </w:rPr>
            </w:pPr>
            <w:r w:rsidRPr="009D070D">
              <w:rPr>
                <w:rFonts w:cs="Arial"/>
                <w:b/>
                <w:highlight w:val="lightGray"/>
              </w:rPr>
              <w:t>£m</w:t>
            </w:r>
          </w:p>
        </w:tc>
        <w:tc>
          <w:tcPr>
            <w:tcW w:w="0" w:type="auto"/>
            <w:shd w:val="clear" w:color="auto" w:fill="D9D9D9" w:themeFill="background1" w:themeFillShade="D9"/>
            <w:vAlign w:val="center"/>
          </w:tcPr>
          <w:p w:rsidR="00696A7C" w:rsidRPr="009D070D" w:rsidRDefault="00696A7C" w:rsidP="003D58F1">
            <w:pPr>
              <w:tabs>
                <w:tab w:val="left" w:pos="567"/>
                <w:tab w:val="left" w:pos="1134"/>
              </w:tabs>
              <w:spacing w:after="0"/>
              <w:jc w:val="center"/>
              <w:rPr>
                <w:rFonts w:cs="Arial"/>
                <w:b/>
                <w:highlight w:val="lightGray"/>
              </w:rPr>
            </w:pPr>
            <w:r w:rsidRPr="009D070D">
              <w:rPr>
                <w:rFonts w:cs="Arial"/>
                <w:b/>
                <w:highlight w:val="lightGray"/>
              </w:rPr>
              <w:t>2019/20</w:t>
            </w:r>
          </w:p>
          <w:p w:rsidR="00122E8D" w:rsidRPr="009D070D" w:rsidRDefault="00122E8D" w:rsidP="003D58F1">
            <w:pPr>
              <w:tabs>
                <w:tab w:val="left" w:pos="567"/>
                <w:tab w:val="left" w:pos="1134"/>
              </w:tabs>
              <w:spacing w:after="0"/>
              <w:jc w:val="center"/>
              <w:rPr>
                <w:rFonts w:cs="Arial"/>
                <w:b/>
                <w:highlight w:val="lightGray"/>
              </w:rPr>
            </w:pPr>
            <w:r w:rsidRPr="009D070D">
              <w:rPr>
                <w:rFonts w:cs="Arial"/>
                <w:b/>
                <w:highlight w:val="lightGray"/>
              </w:rPr>
              <w:t>£m</w:t>
            </w:r>
          </w:p>
        </w:tc>
        <w:tc>
          <w:tcPr>
            <w:tcW w:w="0" w:type="auto"/>
            <w:shd w:val="clear" w:color="auto" w:fill="D9D9D9" w:themeFill="background1" w:themeFillShade="D9"/>
            <w:vAlign w:val="center"/>
          </w:tcPr>
          <w:p w:rsidR="00696A7C" w:rsidRPr="009D070D" w:rsidRDefault="00696A7C" w:rsidP="003D58F1">
            <w:pPr>
              <w:tabs>
                <w:tab w:val="left" w:pos="567"/>
                <w:tab w:val="left" w:pos="1134"/>
              </w:tabs>
              <w:spacing w:after="0"/>
              <w:jc w:val="center"/>
              <w:rPr>
                <w:rFonts w:cs="Arial"/>
                <w:b/>
                <w:highlight w:val="lightGray"/>
              </w:rPr>
            </w:pPr>
            <w:r w:rsidRPr="009D070D">
              <w:rPr>
                <w:rFonts w:cs="Arial"/>
                <w:b/>
                <w:highlight w:val="lightGray"/>
              </w:rPr>
              <w:t>2020/21</w:t>
            </w:r>
          </w:p>
          <w:p w:rsidR="00122E8D" w:rsidRPr="009D070D" w:rsidRDefault="00122E8D" w:rsidP="003D58F1">
            <w:pPr>
              <w:tabs>
                <w:tab w:val="left" w:pos="567"/>
                <w:tab w:val="left" w:pos="1134"/>
              </w:tabs>
              <w:spacing w:after="0"/>
              <w:jc w:val="center"/>
              <w:rPr>
                <w:rFonts w:cs="Arial"/>
                <w:b/>
                <w:highlight w:val="lightGray"/>
              </w:rPr>
            </w:pPr>
            <w:r w:rsidRPr="009D070D">
              <w:rPr>
                <w:rFonts w:cs="Arial"/>
                <w:b/>
                <w:highlight w:val="lightGray"/>
              </w:rPr>
              <w:t>£m</w:t>
            </w:r>
          </w:p>
        </w:tc>
        <w:tc>
          <w:tcPr>
            <w:tcW w:w="1010" w:type="dxa"/>
            <w:shd w:val="clear" w:color="auto" w:fill="D9D9D9" w:themeFill="background1" w:themeFillShade="D9"/>
            <w:vAlign w:val="center"/>
          </w:tcPr>
          <w:p w:rsidR="00696A7C" w:rsidRPr="009D070D" w:rsidRDefault="00696A7C" w:rsidP="003D58F1">
            <w:pPr>
              <w:tabs>
                <w:tab w:val="left" w:pos="567"/>
                <w:tab w:val="left" w:pos="1134"/>
              </w:tabs>
              <w:spacing w:after="0"/>
              <w:jc w:val="center"/>
              <w:rPr>
                <w:rFonts w:cs="Arial"/>
                <w:b/>
                <w:highlight w:val="lightGray"/>
              </w:rPr>
            </w:pPr>
            <w:r w:rsidRPr="009D070D">
              <w:rPr>
                <w:rFonts w:cs="Arial"/>
                <w:b/>
                <w:highlight w:val="lightGray"/>
              </w:rPr>
              <w:t>Total</w:t>
            </w:r>
          </w:p>
          <w:p w:rsidR="00122E8D" w:rsidRPr="009D070D" w:rsidRDefault="00122E8D" w:rsidP="003D58F1">
            <w:pPr>
              <w:tabs>
                <w:tab w:val="left" w:pos="567"/>
                <w:tab w:val="left" w:pos="1134"/>
              </w:tabs>
              <w:spacing w:after="0"/>
              <w:jc w:val="center"/>
              <w:rPr>
                <w:rFonts w:cs="Arial"/>
                <w:b/>
                <w:highlight w:val="lightGray"/>
              </w:rPr>
            </w:pPr>
            <w:r w:rsidRPr="009D070D">
              <w:rPr>
                <w:rFonts w:cs="Arial"/>
                <w:b/>
                <w:highlight w:val="lightGray"/>
              </w:rPr>
              <w:t>£m</w:t>
            </w:r>
          </w:p>
        </w:tc>
      </w:tr>
      <w:tr w:rsidR="00696A7C" w:rsidRPr="00333713" w:rsidTr="002A03A8">
        <w:tc>
          <w:tcPr>
            <w:tcW w:w="0" w:type="auto"/>
            <w:vAlign w:val="center"/>
          </w:tcPr>
          <w:p w:rsidR="00696A7C" w:rsidRPr="009D070D" w:rsidRDefault="00696A7C" w:rsidP="000E7CA1">
            <w:pPr>
              <w:tabs>
                <w:tab w:val="left" w:pos="567"/>
                <w:tab w:val="left" w:pos="1134"/>
              </w:tabs>
              <w:spacing w:after="0"/>
              <w:jc w:val="left"/>
              <w:rPr>
                <w:rFonts w:cs="Arial"/>
                <w:b/>
              </w:rPr>
            </w:pPr>
            <w:r w:rsidRPr="009D070D">
              <w:rPr>
                <w:rFonts w:cs="Arial"/>
                <w:b/>
              </w:rPr>
              <w:t xml:space="preserve">Funding gap reported to </w:t>
            </w:r>
            <w:r w:rsidR="000E7CA1" w:rsidRPr="009D070D">
              <w:rPr>
                <w:rFonts w:cs="Arial"/>
                <w:b/>
              </w:rPr>
              <w:t xml:space="preserve">Cabinet  </w:t>
            </w:r>
            <w:r w:rsidRPr="009D070D">
              <w:rPr>
                <w:rFonts w:cs="Arial"/>
                <w:b/>
              </w:rPr>
              <w:t xml:space="preserve">– </w:t>
            </w:r>
            <w:r w:rsidR="000E7CA1" w:rsidRPr="009D070D">
              <w:rPr>
                <w:rFonts w:cs="Arial"/>
                <w:b/>
              </w:rPr>
              <w:t xml:space="preserve">August </w:t>
            </w:r>
            <w:r w:rsidRPr="009D070D">
              <w:rPr>
                <w:rFonts w:cs="Arial"/>
                <w:b/>
              </w:rPr>
              <w:t>2015</w:t>
            </w:r>
          </w:p>
        </w:tc>
        <w:tc>
          <w:tcPr>
            <w:tcW w:w="0" w:type="auto"/>
            <w:vAlign w:val="center"/>
          </w:tcPr>
          <w:p w:rsidR="00696A7C" w:rsidRPr="009D070D" w:rsidRDefault="000E7CA1" w:rsidP="002A03A8">
            <w:pPr>
              <w:tabs>
                <w:tab w:val="left" w:pos="567"/>
                <w:tab w:val="left" w:pos="1134"/>
              </w:tabs>
              <w:spacing w:after="0"/>
              <w:jc w:val="center"/>
              <w:rPr>
                <w:rFonts w:cs="Arial"/>
                <w:b/>
              </w:rPr>
            </w:pPr>
            <w:r w:rsidRPr="009D070D">
              <w:rPr>
                <w:rFonts w:cs="Arial"/>
                <w:b/>
              </w:rPr>
              <w:t>65.9</w:t>
            </w:r>
          </w:p>
        </w:tc>
        <w:tc>
          <w:tcPr>
            <w:tcW w:w="0" w:type="auto"/>
            <w:vAlign w:val="center"/>
          </w:tcPr>
          <w:p w:rsidR="00696A7C" w:rsidRPr="009D070D" w:rsidRDefault="000E7CA1" w:rsidP="002A03A8">
            <w:pPr>
              <w:tabs>
                <w:tab w:val="left" w:pos="567"/>
                <w:tab w:val="left" w:pos="1134"/>
              </w:tabs>
              <w:spacing w:after="0"/>
              <w:jc w:val="center"/>
              <w:rPr>
                <w:rFonts w:cs="Arial"/>
                <w:b/>
              </w:rPr>
            </w:pPr>
            <w:r w:rsidRPr="009D070D">
              <w:rPr>
                <w:rFonts w:cs="Arial"/>
                <w:b/>
              </w:rPr>
              <w:t>21.2</w:t>
            </w:r>
          </w:p>
        </w:tc>
        <w:tc>
          <w:tcPr>
            <w:tcW w:w="0" w:type="auto"/>
            <w:vAlign w:val="center"/>
          </w:tcPr>
          <w:p w:rsidR="00696A7C" w:rsidRPr="009D070D" w:rsidRDefault="000E7CA1" w:rsidP="002A03A8">
            <w:pPr>
              <w:tabs>
                <w:tab w:val="left" w:pos="567"/>
                <w:tab w:val="left" w:pos="1134"/>
              </w:tabs>
              <w:spacing w:after="0"/>
              <w:jc w:val="center"/>
              <w:rPr>
                <w:rFonts w:cs="Arial"/>
                <w:b/>
              </w:rPr>
            </w:pPr>
            <w:r w:rsidRPr="009D070D">
              <w:rPr>
                <w:rFonts w:cs="Arial"/>
                <w:b/>
              </w:rPr>
              <w:t>50.1</w:t>
            </w:r>
          </w:p>
        </w:tc>
        <w:tc>
          <w:tcPr>
            <w:tcW w:w="0" w:type="auto"/>
            <w:vAlign w:val="center"/>
          </w:tcPr>
          <w:p w:rsidR="00696A7C" w:rsidRPr="009D070D" w:rsidRDefault="000E7CA1" w:rsidP="002A03A8">
            <w:pPr>
              <w:tabs>
                <w:tab w:val="left" w:pos="567"/>
                <w:tab w:val="left" w:pos="1134"/>
              </w:tabs>
              <w:spacing w:after="0"/>
              <w:jc w:val="center"/>
              <w:rPr>
                <w:rFonts w:cs="Arial"/>
                <w:b/>
              </w:rPr>
            </w:pPr>
            <w:r w:rsidRPr="009D070D">
              <w:rPr>
                <w:rFonts w:cs="Arial"/>
                <w:b/>
              </w:rPr>
              <w:t>43.3</w:t>
            </w:r>
          </w:p>
        </w:tc>
        <w:tc>
          <w:tcPr>
            <w:tcW w:w="0" w:type="auto"/>
            <w:vAlign w:val="center"/>
          </w:tcPr>
          <w:p w:rsidR="00696A7C" w:rsidRPr="009D070D" w:rsidRDefault="000E7CA1" w:rsidP="002A03A8">
            <w:pPr>
              <w:tabs>
                <w:tab w:val="left" w:pos="567"/>
                <w:tab w:val="left" w:pos="1134"/>
              </w:tabs>
              <w:spacing w:after="0"/>
              <w:jc w:val="center"/>
              <w:rPr>
                <w:rFonts w:cs="Arial"/>
                <w:b/>
              </w:rPr>
            </w:pPr>
            <w:r w:rsidRPr="009D070D">
              <w:rPr>
                <w:rFonts w:cs="Arial"/>
                <w:b/>
              </w:rPr>
              <w:t>42.7</w:t>
            </w:r>
          </w:p>
        </w:tc>
        <w:tc>
          <w:tcPr>
            <w:tcW w:w="1010" w:type="dxa"/>
            <w:vAlign w:val="center"/>
          </w:tcPr>
          <w:p w:rsidR="00696A7C" w:rsidRPr="009D070D" w:rsidRDefault="000E7CA1" w:rsidP="002A03A8">
            <w:pPr>
              <w:tabs>
                <w:tab w:val="left" w:pos="567"/>
                <w:tab w:val="left" w:pos="1134"/>
              </w:tabs>
              <w:spacing w:after="0"/>
              <w:jc w:val="center"/>
              <w:rPr>
                <w:rFonts w:cs="Arial"/>
                <w:b/>
              </w:rPr>
            </w:pPr>
            <w:r w:rsidRPr="009D070D">
              <w:rPr>
                <w:rFonts w:cs="Arial"/>
                <w:b/>
              </w:rPr>
              <w:t>223.2</w:t>
            </w:r>
          </w:p>
        </w:tc>
      </w:tr>
      <w:tr w:rsidR="00696A7C" w:rsidRPr="00333713" w:rsidTr="002A03A8">
        <w:tc>
          <w:tcPr>
            <w:tcW w:w="0" w:type="auto"/>
            <w:vAlign w:val="center"/>
          </w:tcPr>
          <w:p w:rsidR="00696A7C" w:rsidRPr="009D070D" w:rsidRDefault="00696A7C" w:rsidP="003D58F1">
            <w:pPr>
              <w:tabs>
                <w:tab w:val="left" w:pos="567"/>
                <w:tab w:val="left" w:pos="1134"/>
              </w:tabs>
              <w:spacing w:after="0"/>
              <w:jc w:val="left"/>
              <w:rPr>
                <w:rFonts w:cs="Arial"/>
              </w:rPr>
            </w:pPr>
            <w:r w:rsidRPr="009D070D">
              <w:rPr>
                <w:rFonts w:cs="Arial"/>
              </w:rPr>
              <w:t>Impact of revised funding assumptions</w:t>
            </w:r>
            <w:r w:rsidR="00956265" w:rsidRPr="009D070D">
              <w:rPr>
                <w:rFonts w:cs="Arial"/>
              </w:rPr>
              <w:t xml:space="preserve"> (para 3.2)</w:t>
            </w:r>
          </w:p>
        </w:tc>
        <w:tc>
          <w:tcPr>
            <w:tcW w:w="0" w:type="auto"/>
            <w:vAlign w:val="center"/>
          </w:tcPr>
          <w:p w:rsidR="00696A7C" w:rsidRPr="009D070D" w:rsidRDefault="00433AA1" w:rsidP="002A03A8">
            <w:pPr>
              <w:tabs>
                <w:tab w:val="left" w:pos="567"/>
                <w:tab w:val="left" w:pos="1134"/>
              </w:tabs>
              <w:spacing w:after="0"/>
              <w:jc w:val="center"/>
              <w:rPr>
                <w:rFonts w:cs="Arial"/>
              </w:rPr>
            </w:pPr>
            <w:r w:rsidRPr="009D070D">
              <w:rPr>
                <w:rFonts w:cs="Arial"/>
              </w:rPr>
              <w:t>-</w:t>
            </w:r>
          </w:p>
        </w:tc>
        <w:tc>
          <w:tcPr>
            <w:tcW w:w="0" w:type="auto"/>
            <w:vAlign w:val="center"/>
          </w:tcPr>
          <w:p w:rsidR="00696A7C" w:rsidRPr="009D070D" w:rsidRDefault="00433AA1" w:rsidP="002A03A8">
            <w:pPr>
              <w:tabs>
                <w:tab w:val="left" w:pos="567"/>
                <w:tab w:val="left" w:pos="1134"/>
              </w:tabs>
              <w:spacing w:after="0"/>
              <w:jc w:val="center"/>
              <w:rPr>
                <w:rFonts w:cs="Arial"/>
              </w:rPr>
            </w:pPr>
            <w:r w:rsidRPr="009D070D">
              <w:rPr>
                <w:rFonts w:cs="Arial"/>
              </w:rPr>
              <w:t>-</w:t>
            </w:r>
          </w:p>
        </w:tc>
        <w:tc>
          <w:tcPr>
            <w:tcW w:w="0" w:type="auto"/>
            <w:vAlign w:val="center"/>
          </w:tcPr>
          <w:p w:rsidR="00696A7C" w:rsidRPr="009D070D" w:rsidRDefault="000E7CA1" w:rsidP="002A03A8">
            <w:pPr>
              <w:tabs>
                <w:tab w:val="left" w:pos="567"/>
                <w:tab w:val="left" w:pos="1134"/>
              </w:tabs>
              <w:spacing w:after="0"/>
              <w:jc w:val="center"/>
              <w:rPr>
                <w:rFonts w:cs="Arial"/>
              </w:rPr>
            </w:pPr>
            <w:r w:rsidRPr="009D070D">
              <w:rPr>
                <w:rFonts w:cs="Arial"/>
              </w:rPr>
              <w:t>-</w:t>
            </w:r>
          </w:p>
        </w:tc>
        <w:tc>
          <w:tcPr>
            <w:tcW w:w="0" w:type="auto"/>
            <w:vAlign w:val="center"/>
          </w:tcPr>
          <w:p w:rsidR="00696A7C" w:rsidRPr="009D070D" w:rsidRDefault="000E7CA1" w:rsidP="002A03A8">
            <w:pPr>
              <w:tabs>
                <w:tab w:val="left" w:pos="567"/>
                <w:tab w:val="left" w:pos="1134"/>
              </w:tabs>
              <w:spacing w:after="0"/>
              <w:jc w:val="center"/>
              <w:rPr>
                <w:rFonts w:cs="Arial"/>
              </w:rPr>
            </w:pPr>
            <w:r w:rsidRPr="009D070D">
              <w:rPr>
                <w:rFonts w:cs="Arial"/>
              </w:rPr>
              <w:t>-</w:t>
            </w:r>
          </w:p>
        </w:tc>
        <w:tc>
          <w:tcPr>
            <w:tcW w:w="0" w:type="auto"/>
            <w:vAlign w:val="center"/>
          </w:tcPr>
          <w:p w:rsidR="00696A7C" w:rsidRPr="009D070D" w:rsidRDefault="000E7CA1" w:rsidP="002A03A8">
            <w:pPr>
              <w:tabs>
                <w:tab w:val="left" w:pos="567"/>
                <w:tab w:val="left" w:pos="1134"/>
              </w:tabs>
              <w:spacing w:after="0"/>
              <w:jc w:val="center"/>
              <w:rPr>
                <w:rFonts w:cs="Arial"/>
              </w:rPr>
            </w:pPr>
            <w:r w:rsidRPr="009D070D">
              <w:rPr>
                <w:rFonts w:cs="Arial"/>
              </w:rPr>
              <w:t>-</w:t>
            </w:r>
          </w:p>
        </w:tc>
        <w:tc>
          <w:tcPr>
            <w:tcW w:w="1010" w:type="dxa"/>
            <w:vAlign w:val="center"/>
          </w:tcPr>
          <w:p w:rsidR="00696A7C" w:rsidRPr="009D070D" w:rsidRDefault="000E7CA1" w:rsidP="002A03A8">
            <w:pPr>
              <w:tabs>
                <w:tab w:val="left" w:pos="567"/>
                <w:tab w:val="left" w:pos="1134"/>
              </w:tabs>
              <w:spacing w:after="0"/>
              <w:jc w:val="center"/>
              <w:rPr>
                <w:rFonts w:cs="Arial"/>
              </w:rPr>
            </w:pPr>
            <w:r w:rsidRPr="009D070D">
              <w:rPr>
                <w:rFonts w:cs="Arial"/>
              </w:rPr>
              <w:t>-</w:t>
            </w:r>
          </w:p>
        </w:tc>
      </w:tr>
      <w:tr w:rsidR="00696A7C" w:rsidRPr="00333713" w:rsidTr="002A03A8">
        <w:tc>
          <w:tcPr>
            <w:tcW w:w="0" w:type="auto"/>
            <w:vAlign w:val="center"/>
          </w:tcPr>
          <w:p w:rsidR="00696A7C" w:rsidRPr="009D070D" w:rsidRDefault="00696A7C" w:rsidP="003D58F1">
            <w:pPr>
              <w:tabs>
                <w:tab w:val="left" w:pos="567"/>
                <w:tab w:val="left" w:pos="1134"/>
              </w:tabs>
              <w:spacing w:after="0"/>
              <w:jc w:val="left"/>
              <w:rPr>
                <w:rFonts w:cs="Arial"/>
              </w:rPr>
            </w:pPr>
            <w:r w:rsidRPr="009D070D">
              <w:rPr>
                <w:rFonts w:cs="Arial"/>
              </w:rPr>
              <w:t>Impact of changes to pay assumptions</w:t>
            </w:r>
            <w:r w:rsidR="0070208A" w:rsidRPr="009D070D">
              <w:rPr>
                <w:rFonts w:cs="Arial"/>
              </w:rPr>
              <w:t xml:space="preserve"> (4.1)</w:t>
            </w:r>
          </w:p>
        </w:tc>
        <w:tc>
          <w:tcPr>
            <w:tcW w:w="0" w:type="auto"/>
            <w:vAlign w:val="center"/>
          </w:tcPr>
          <w:p w:rsidR="00696A7C" w:rsidRPr="009D070D" w:rsidRDefault="00433AA1" w:rsidP="002A03A8">
            <w:pPr>
              <w:tabs>
                <w:tab w:val="left" w:pos="567"/>
                <w:tab w:val="left" w:pos="1134"/>
              </w:tabs>
              <w:spacing w:after="0"/>
              <w:jc w:val="center"/>
              <w:rPr>
                <w:rFonts w:cs="Arial"/>
              </w:rPr>
            </w:pPr>
            <w:r w:rsidRPr="009D070D">
              <w:rPr>
                <w:rFonts w:cs="Arial"/>
              </w:rPr>
              <w:t>0.7</w:t>
            </w:r>
          </w:p>
        </w:tc>
        <w:tc>
          <w:tcPr>
            <w:tcW w:w="0" w:type="auto"/>
            <w:vAlign w:val="center"/>
          </w:tcPr>
          <w:p w:rsidR="00696A7C" w:rsidRPr="009D070D" w:rsidRDefault="00696A7C" w:rsidP="002A03A8">
            <w:pPr>
              <w:tabs>
                <w:tab w:val="left" w:pos="567"/>
                <w:tab w:val="left" w:pos="1134"/>
              </w:tabs>
              <w:spacing w:after="0"/>
              <w:jc w:val="center"/>
              <w:rPr>
                <w:rFonts w:cs="Arial"/>
              </w:rPr>
            </w:pPr>
          </w:p>
        </w:tc>
        <w:tc>
          <w:tcPr>
            <w:tcW w:w="0" w:type="auto"/>
            <w:vAlign w:val="center"/>
          </w:tcPr>
          <w:p w:rsidR="00696A7C" w:rsidRPr="009D070D" w:rsidRDefault="00696A7C" w:rsidP="002A03A8">
            <w:pPr>
              <w:tabs>
                <w:tab w:val="left" w:pos="567"/>
                <w:tab w:val="left" w:pos="1134"/>
              </w:tabs>
              <w:spacing w:after="0"/>
              <w:jc w:val="center"/>
              <w:rPr>
                <w:rFonts w:cs="Arial"/>
              </w:rPr>
            </w:pPr>
          </w:p>
        </w:tc>
        <w:tc>
          <w:tcPr>
            <w:tcW w:w="0" w:type="auto"/>
            <w:vAlign w:val="center"/>
          </w:tcPr>
          <w:p w:rsidR="00696A7C" w:rsidRPr="009D070D" w:rsidRDefault="00696A7C" w:rsidP="002A03A8">
            <w:pPr>
              <w:tabs>
                <w:tab w:val="left" w:pos="567"/>
                <w:tab w:val="left" w:pos="1134"/>
              </w:tabs>
              <w:spacing w:after="0"/>
              <w:jc w:val="center"/>
              <w:rPr>
                <w:rFonts w:cs="Arial"/>
              </w:rPr>
            </w:pPr>
          </w:p>
        </w:tc>
        <w:tc>
          <w:tcPr>
            <w:tcW w:w="0" w:type="auto"/>
            <w:vAlign w:val="center"/>
          </w:tcPr>
          <w:p w:rsidR="00696A7C" w:rsidRPr="009D070D" w:rsidRDefault="00696A7C" w:rsidP="002A03A8">
            <w:pPr>
              <w:tabs>
                <w:tab w:val="left" w:pos="567"/>
                <w:tab w:val="left" w:pos="1134"/>
              </w:tabs>
              <w:spacing w:after="0"/>
              <w:jc w:val="center"/>
              <w:rPr>
                <w:rFonts w:cs="Arial"/>
              </w:rPr>
            </w:pPr>
          </w:p>
        </w:tc>
        <w:tc>
          <w:tcPr>
            <w:tcW w:w="1010" w:type="dxa"/>
            <w:vAlign w:val="center"/>
          </w:tcPr>
          <w:p w:rsidR="00696A7C" w:rsidRPr="009D070D" w:rsidRDefault="00892B1C" w:rsidP="002A03A8">
            <w:pPr>
              <w:tabs>
                <w:tab w:val="left" w:pos="567"/>
                <w:tab w:val="left" w:pos="1134"/>
              </w:tabs>
              <w:spacing w:after="0"/>
              <w:jc w:val="center"/>
              <w:rPr>
                <w:rFonts w:cs="Arial"/>
              </w:rPr>
            </w:pPr>
            <w:r w:rsidRPr="009D070D">
              <w:rPr>
                <w:rFonts w:cs="Arial"/>
              </w:rPr>
              <w:t>0.7</w:t>
            </w:r>
          </w:p>
        </w:tc>
      </w:tr>
      <w:tr w:rsidR="00E03947" w:rsidRPr="00333713" w:rsidTr="008C737B">
        <w:tc>
          <w:tcPr>
            <w:tcW w:w="0" w:type="auto"/>
            <w:vAlign w:val="center"/>
          </w:tcPr>
          <w:p w:rsidR="00E03947" w:rsidRPr="009D070D" w:rsidRDefault="00E03947" w:rsidP="00E03947">
            <w:pPr>
              <w:tabs>
                <w:tab w:val="left" w:pos="567"/>
                <w:tab w:val="left" w:pos="1134"/>
              </w:tabs>
              <w:spacing w:after="0"/>
              <w:jc w:val="left"/>
              <w:rPr>
                <w:rFonts w:cs="Arial"/>
              </w:rPr>
            </w:pPr>
            <w:r w:rsidRPr="009D070D">
              <w:rPr>
                <w:rFonts w:cs="Arial"/>
              </w:rPr>
              <w:t>Impact of increases due to contractual price inflation (4.2)</w:t>
            </w:r>
          </w:p>
        </w:tc>
        <w:tc>
          <w:tcPr>
            <w:tcW w:w="0" w:type="auto"/>
            <w:vAlign w:val="center"/>
          </w:tcPr>
          <w:p w:rsidR="00E03947" w:rsidRPr="009D070D" w:rsidRDefault="00E03947" w:rsidP="00C7650B">
            <w:pPr>
              <w:tabs>
                <w:tab w:val="left" w:pos="567"/>
                <w:tab w:val="left" w:pos="1134"/>
              </w:tabs>
              <w:spacing w:after="0"/>
              <w:jc w:val="center"/>
              <w:rPr>
                <w:rFonts w:cs="Arial"/>
              </w:rPr>
            </w:pPr>
            <w:r w:rsidRPr="009D070D">
              <w:rPr>
                <w:rFonts w:cs="Arial"/>
              </w:rPr>
              <w:t>-4.</w:t>
            </w:r>
            <w:r w:rsidR="00C7650B" w:rsidRPr="009D070D">
              <w:rPr>
                <w:rFonts w:cs="Arial"/>
              </w:rPr>
              <w:t>5</w:t>
            </w:r>
          </w:p>
        </w:tc>
        <w:tc>
          <w:tcPr>
            <w:tcW w:w="0" w:type="auto"/>
            <w:vAlign w:val="center"/>
          </w:tcPr>
          <w:p w:rsidR="00E03947" w:rsidRPr="009D070D" w:rsidRDefault="00E03947" w:rsidP="00C7650B">
            <w:pPr>
              <w:tabs>
                <w:tab w:val="left" w:pos="567"/>
                <w:tab w:val="left" w:pos="1134"/>
              </w:tabs>
              <w:spacing w:after="0"/>
              <w:jc w:val="center"/>
              <w:rPr>
                <w:rFonts w:cs="Arial"/>
              </w:rPr>
            </w:pPr>
            <w:r w:rsidRPr="009D070D">
              <w:rPr>
                <w:rFonts w:cs="Arial"/>
              </w:rPr>
              <w:t>-</w:t>
            </w:r>
            <w:r w:rsidR="00C7650B" w:rsidRPr="009D070D">
              <w:rPr>
                <w:rFonts w:cs="Arial"/>
              </w:rPr>
              <w:t>5</w:t>
            </w:r>
            <w:r w:rsidRPr="009D070D">
              <w:rPr>
                <w:rFonts w:cs="Arial"/>
              </w:rPr>
              <w:t>.0</w:t>
            </w:r>
          </w:p>
        </w:tc>
        <w:tc>
          <w:tcPr>
            <w:tcW w:w="0" w:type="auto"/>
            <w:vAlign w:val="center"/>
          </w:tcPr>
          <w:p w:rsidR="00E03947" w:rsidRPr="009D070D" w:rsidRDefault="00C7650B" w:rsidP="00E03947">
            <w:pPr>
              <w:tabs>
                <w:tab w:val="left" w:pos="567"/>
                <w:tab w:val="left" w:pos="1134"/>
              </w:tabs>
              <w:spacing w:after="0"/>
              <w:jc w:val="center"/>
              <w:rPr>
                <w:rFonts w:cs="Arial"/>
              </w:rPr>
            </w:pPr>
            <w:r w:rsidRPr="009D070D">
              <w:rPr>
                <w:rFonts w:cs="Arial"/>
              </w:rPr>
              <w:t>-1.5</w:t>
            </w:r>
          </w:p>
        </w:tc>
        <w:tc>
          <w:tcPr>
            <w:tcW w:w="0" w:type="auto"/>
            <w:vAlign w:val="center"/>
          </w:tcPr>
          <w:p w:rsidR="00E03947" w:rsidRPr="009D070D" w:rsidRDefault="00C7650B" w:rsidP="00E03947">
            <w:pPr>
              <w:tabs>
                <w:tab w:val="left" w:pos="567"/>
                <w:tab w:val="left" w:pos="1134"/>
              </w:tabs>
              <w:spacing w:after="0"/>
              <w:jc w:val="center"/>
              <w:rPr>
                <w:rFonts w:cs="Arial"/>
              </w:rPr>
            </w:pPr>
            <w:r w:rsidRPr="009D070D">
              <w:rPr>
                <w:rFonts w:cs="Arial"/>
              </w:rPr>
              <w:t>-2.2</w:t>
            </w:r>
          </w:p>
        </w:tc>
        <w:tc>
          <w:tcPr>
            <w:tcW w:w="0" w:type="auto"/>
            <w:vAlign w:val="center"/>
          </w:tcPr>
          <w:p w:rsidR="00E03947" w:rsidRPr="009D070D" w:rsidRDefault="00E03947" w:rsidP="00E03947">
            <w:pPr>
              <w:tabs>
                <w:tab w:val="left" w:pos="567"/>
                <w:tab w:val="left" w:pos="1134"/>
              </w:tabs>
              <w:spacing w:after="0"/>
              <w:jc w:val="center"/>
              <w:rPr>
                <w:rFonts w:cs="Arial"/>
              </w:rPr>
            </w:pPr>
            <w:r w:rsidRPr="009D070D">
              <w:rPr>
                <w:rFonts w:cs="Arial"/>
              </w:rPr>
              <w:t>-2.2</w:t>
            </w:r>
          </w:p>
        </w:tc>
        <w:tc>
          <w:tcPr>
            <w:tcW w:w="1010" w:type="dxa"/>
            <w:vAlign w:val="center"/>
          </w:tcPr>
          <w:p w:rsidR="00E03947" w:rsidRPr="009D070D" w:rsidRDefault="00F74D0B" w:rsidP="008C737B">
            <w:pPr>
              <w:tabs>
                <w:tab w:val="left" w:pos="567"/>
                <w:tab w:val="left" w:pos="1134"/>
              </w:tabs>
              <w:spacing w:after="0"/>
              <w:jc w:val="center"/>
              <w:rPr>
                <w:rFonts w:cs="Arial"/>
              </w:rPr>
            </w:pPr>
            <w:r w:rsidRPr="009D070D">
              <w:rPr>
                <w:rFonts w:cs="Arial"/>
              </w:rPr>
              <w:t>-15.4</w:t>
            </w:r>
          </w:p>
        </w:tc>
      </w:tr>
      <w:tr w:rsidR="00E03947" w:rsidRPr="00333713" w:rsidTr="002A03A8">
        <w:tc>
          <w:tcPr>
            <w:tcW w:w="0" w:type="auto"/>
            <w:vAlign w:val="center"/>
          </w:tcPr>
          <w:p w:rsidR="00E03947" w:rsidRPr="009D070D" w:rsidRDefault="00E03947" w:rsidP="00E03947">
            <w:pPr>
              <w:tabs>
                <w:tab w:val="left" w:pos="567"/>
                <w:tab w:val="left" w:pos="1134"/>
              </w:tabs>
              <w:spacing w:after="0"/>
              <w:jc w:val="left"/>
              <w:rPr>
                <w:rFonts w:cs="Arial"/>
              </w:rPr>
            </w:pPr>
            <w:r w:rsidRPr="009D070D">
              <w:rPr>
                <w:rFonts w:cs="Arial"/>
              </w:rPr>
              <w:t>Impact of the National Living Wage (4.3)</w:t>
            </w:r>
          </w:p>
        </w:tc>
        <w:tc>
          <w:tcPr>
            <w:tcW w:w="0" w:type="auto"/>
            <w:vAlign w:val="center"/>
          </w:tcPr>
          <w:p w:rsidR="00E03947" w:rsidRPr="009D070D" w:rsidRDefault="00E03947" w:rsidP="00E03947">
            <w:pPr>
              <w:tabs>
                <w:tab w:val="left" w:pos="567"/>
                <w:tab w:val="left" w:pos="1134"/>
              </w:tabs>
              <w:spacing w:after="0"/>
              <w:jc w:val="center"/>
              <w:rPr>
                <w:rFonts w:cs="Arial"/>
              </w:rPr>
            </w:pPr>
            <w:r w:rsidRPr="009D070D">
              <w:rPr>
                <w:rFonts w:cs="Arial"/>
              </w:rPr>
              <w:t>3.3</w:t>
            </w:r>
          </w:p>
        </w:tc>
        <w:tc>
          <w:tcPr>
            <w:tcW w:w="0" w:type="auto"/>
            <w:vAlign w:val="center"/>
          </w:tcPr>
          <w:p w:rsidR="00E03947" w:rsidRPr="009D070D" w:rsidRDefault="00E03947" w:rsidP="00E03947">
            <w:pPr>
              <w:tabs>
                <w:tab w:val="left" w:pos="567"/>
                <w:tab w:val="left" w:pos="1134"/>
              </w:tabs>
              <w:spacing w:after="0"/>
              <w:jc w:val="center"/>
              <w:rPr>
                <w:rFonts w:cs="Arial"/>
              </w:rPr>
            </w:pPr>
            <w:r w:rsidRPr="009D070D">
              <w:rPr>
                <w:rFonts w:cs="Arial"/>
              </w:rPr>
              <w:t>8.5</w:t>
            </w:r>
          </w:p>
        </w:tc>
        <w:tc>
          <w:tcPr>
            <w:tcW w:w="0" w:type="auto"/>
            <w:vAlign w:val="center"/>
          </w:tcPr>
          <w:p w:rsidR="00E03947" w:rsidRPr="009D070D" w:rsidRDefault="00E03947" w:rsidP="00E03947">
            <w:pPr>
              <w:tabs>
                <w:tab w:val="left" w:pos="567"/>
                <w:tab w:val="left" w:pos="1134"/>
              </w:tabs>
              <w:spacing w:after="0"/>
              <w:jc w:val="center"/>
              <w:rPr>
                <w:rFonts w:cs="Arial"/>
              </w:rPr>
            </w:pPr>
            <w:r w:rsidRPr="009D070D">
              <w:rPr>
                <w:rFonts w:cs="Arial"/>
              </w:rPr>
              <w:t>8.0</w:t>
            </w:r>
          </w:p>
        </w:tc>
        <w:tc>
          <w:tcPr>
            <w:tcW w:w="0" w:type="auto"/>
            <w:vAlign w:val="center"/>
          </w:tcPr>
          <w:p w:rsidR="00E03947" w:rsidRPr="009D070D" w:rsidRDefault="00E03947" w:rsidP="00E03947">
            <w:pPr>
              <w:tabs>
                <w:tab w:val="left" w:pos="567"/>
                <w:tab w:val="left" w:pos="1134"/>
              </w:tabs>
              <w:spacing w:after="0"/>
              <w:jc w:val="center"/>
              <w:rPr>
                <w:rFonts w:cs="Arial"/>
              </w:rPr>
            </w:pPr>
            <w:r w:rsidRPr="009D070D">
              <w:rPr>
                <w:rFonts w:cs="Arial"/>
              </w:rPr>
              <w:t>7.6</w:t>
            </w:r>
          </w:p>
        </w:tc>
        <w:tc>
          <w:tcPr>
            <w:tcW w:w="0" w:type="auto"/>
            <w:vAlign w:val="center"/>
          </w:tcPr>
          <w:p w:rsidR="00E03947" w:rsidRPr="009D070D" w:rsidRDefault="00E03947" w:rsidP="00E03947">
            <w:pPr>
              <w:tabs>
                <w:tab w:val="left" w:pos="567"/>
                <w:tab w:val="left" w:pos="1134"/>
              </w:tabs>
              <w:spacing w:after="0"/>
              <w:jc w:val="center"/>
              <w:rPr>
                <w:rFonts w:cs="Arial"/>
              </w:rPr>
            </w:pPr>
            <w:r w:rsidRPr="009D070D">
              <w:rPr>
                <w:rFonts w:cs="Arial"/>
              </w:rPr>
              <w:t>7.2</w:t>
            </w:r>
          </w:p>
        </w:tc>
        <w:tc>
          <w:tcPr>
            <w:tcW w:w="1010" w:type="dxa"/>
            <w:vAlign w:val="center"/>
          </w:tcPr>
          <w:p w:rsidR="00E03947" w:rsidRPr="009D070D" w:rsidRDefault="00E03947" w:rsidP="00E03947">
            <w:pPr>
              <w:tabs>
                <w:tab w:val="left" w:pos="567"/>
                <w:tab w:val="left" w:pos="1134"/>
              </w:tabs>
              <w:spacing w:after="0"/>
              <w:jc w:val="center"/>
              <w:rPr>
                <w:rFonts w:cs="Arial"/>
              </w:rPr>
            </w:pPr>
            <w:r w:rsidRPr="009D070D">
              <w:rPr>
                <w:rFonts w:cs="Arial"/>
              </w:rPr>
              <w:t>34.6</w:t>
            </w:r>
          </w:p>
        </w:tc>
      </w:tr>
      <w:tr w:rsidR="00E03947" w:rsidRPr="00333713" w:rsidTr="002A03A8">
        <w:tc>
          <w:tcPr>
            <w:tcW w:w="0" w:type="auto"/>
            <w:vAlign w:val="center"/>
          </w:tcPr>
          <w:p w:rsidR="00E03947" w:rsidRPr="009D070D" w:rsidRDefault="00E03947" w:rsidP="000F14B4">
            <w:pPr>
              <w:tabs>
                <w:tab w:val="left" w:pos="567"/>
                <w:tab w:val="left" w:pos="1134"/>
              </w:tabs>
              <w:spacing w:after="0"/>
              <w:jc w:val="left"/>
              <w:rPr>
                <w:rFonts w:cs="Arial"/>
              </w:rPr>
            </w:pPr>
            <w:r w:rsidRPr="009D070D">
              <w:rPr>
                <w:rFonts w:cs="Arial"/>
              </w:rPr>
              <w:t>Impact of changes to the forecast of demand (4.4)</w:t>
            </w:r>
          </w:p>
        </w:tc>
        <w:tc>
          <w:tcPr>
            <w:tcW w:w="0" w:type="auto"/>
            <w:vAlign w:val="center"/>
          </w:tcPr>
          <w:p w:rsidR="00E03947" w:rsidRPr="009D070D" w:rsidRDefault="00F43393" w:rsidP="00E03947">
            <w:pPr>
              <w:tabs>
                <w:tab w:val="left" w:pos="567"/>
                <w:tab w:val="left" w:pos="1134"/>
              </w:tabs>
              <w:spacing w:after="0"/>
              <w:jc w:val="center"/>
              <w:rPr>
                <w:rFonts w:cs="Arial"/>
              </w:rPr>
            </w:pPr>
            <w:r>
              <w:rPr>
                <w:rFonts w:cs="Arial"/>
              </w:rPr>
              <w:t>13.4</w:t>
            </w:r>
          </w:p>
        </w:tc>
        <w:tc>
          <w:tcPr>
            <w:tcW w:w="0" w:type="auto"/>
            <w:vAlign w:val="center"/>
          </w:tcPr>
          <w:p w:rsidR="00E03947" w:rsidRPr="009D070D" w:rsidRDefault="001F0E9A" w:rsidP="00F74D0B">
            <w:pPr>
              <w:tabs>
                <w:tab w:val="left" w:pos="567"/>
                <w:tab w:val="left" w:pos="1134"/>
              </w:tabs>
              <w:spacing w:after="0"/>
              <w:jc w:val="center"/>
              <w:rPr>
                <w:rFonts w:cs="Arial"/>
              </w:rPr>
            </w:pPr>
            <w:r>
              <w:rPr>
                <w:rFonts w:cs="Arial"/>
              </w:rPr>
              <w:t>-2.0</w:t>
            </w:r>
          </w:p>
        </w:tc>
        <w:tc>
          <w:tcPr>
            <w:tcW w:w="0" w:type="auto"/>
            <w:vAlign w:val="center"/>
          </w:tcPr>
          <w:p w:rsidR="00E03947" w:rsidRPr="009D070D" w:rsidRDefault="00B53E16" w:rsidP="00E03947">
            <w:pPr>
              <w:tabs>
                <w:tab w:val="left" w:pos="567"/>
                <w:tab w:val="left" w:pos="1134"/>
              </w:tabs>
              <w:spacing w:after="0"/>
              <w:jc w:val="center"/>
              <w:rPr>
                <w:rFonts w:cs="Arial"/>
              </w:rPr>
            </w:pPr>
            <w:r w:rsidRPr="009D070D">
              <w:rPr>
                <w:rFonts w:cs="Arial"/>
              </w:rPr>
              <w:t>-0.6</w:t>
            </w:r>
          </w:p>
        </w:tc>
        <w:tc>
          <w:tcPr>
            <w:tcW w:w="0" w:type="auto"/>
            <w:vAlign w:val="center"/>
          </w:tcPr>
          <w:p w:rsidR="00E03947" w:rsidRPr="009D070D" w:rsidRDefault="00B53E16" w:rsidP="00E03947">
            <w:pPr>
              <w:tabs>
                <w:tab w:val="left" w:pos="567"/>
                <w:tab w:val="left" w:pos="1134"/>
              </w:tabs>
              <w:spacing w:after="0"/>
              <w:jc w:val="center"/>
              <w:rPr>
                <w:rFonts w:cs="Arial"/>
              </w:rPr>
            </w:pPr>
            <w:r w:rsidRPr="009D070D">
              <w:rPr>
                <w:rFonts w:cs="Arial"/>
              </w:rPr>
              <w:t>-1.1</w:t>
            </w:r>
          </w:p>
        </w:tc>
        <w:tc>
          <w:tcPr>
            <w:tcW w:w="0" w:type="auto"/>
            <w:vAlign w:val="center"/>
          </w:tcPr>
          <w:p w:rsidR="00E03947" w:rsidRPr="009D070D" w:rsidRDefault="00B53E16" w:rsidP="00E03947">
            <w:pPr>
              <w:tabs>
                <w:tab w:val="left" w:pos="567"/>
                <w:tab w:val="left" w:pos="1134"/>
              </w:tabs>
              <w:spacing w:after="0"/>
              <w:jc w:val="center"/>
              <w:rPr>
                <w:rFonts w:cs="Arial"/>
              </w:rPr>
            </w:pPr>
            <w:r w:rsidRPr="009D070D">
              <w:rPr>
                <w:rFonts w:cs="Arial"/>
              </w:rPr>
              <w:t>-1.4</w:t>
            </w:r>
          </w:p>
        </w:tc>
        <w:tc>
          <w:tcPr>
            <w:tcW w:w="1010" w:type="dxa"/>
            <w:vAlign w:val="center"/>
          </w:tcPr>
          <w:p w:rsidR="00E03947" w:rsidRPr="009D070D" w:rsidRDefault="00F43393" w:rsidP="00220D0A">
            <w:pPr>
              <w:tabs>
                <w:tab w:val="left" w:pos="567"/>
                <w:tab w:val="left" w:pos="1134"/>
              </w:tabs>
              <w:spacing w:after="0"/>
              <w:jc w:val="center"/>
              <w:rPr>
                <w:rFonts w:cs="Arial"/>
              </w:rPr>
            </w:pPr>
            <w:r>
              <w:rPr>
                <w:rFonts w:cs="Arial"/>
              </w:rPr>
              <w:t>8.</w:t>
            </w:r>
            <w:r w:rsidR="00220D0A">
              <w:rPr>
                <w:rFonts w:cs="Arial"/>
              </w:rPr>
              <w:t>3</w:t>
            </w:r>
          </w:p>
        </w:tc>
      </w:tr>
      <w:tr w:rsidR="00B53E16" w:rsidRPr="00333713" w:rsidTr="002A03A8">
        <w:tc>
          <w:tcPr>
            <w:tcW w:w="0" w:type="auto"/>
            <w:vAlign w:val="center"/>
          </w:tcPr>
          <w:p w:rsidR="00B53E16" w:rsidRPr="009D070D" w:rsidRDefault="00B53E16" w:rsidP="00E03947">
            <w:pPr>
              <w:tabs>
                <w:tab w:val="left" w:pos="567"/>
                <w:tab w:val="left" w:pos="1134"/>
              </w:tabs>
              <w:spacing w:after="0"/>
              <w:jc w:val="left"/>
              <w:rPr>
                <w:rFonts w:cs="Arial"/>
              </w:rPr>
            </w:pPr>
            <w:r w:rsidRPr="009D070D">
              <w:rPr>
                <w:rFonts w:cs="Arial"/>
              </w:rPr>
              <w:t>Loss of grant income</w:t>
            </w:r>
            <w:r w:rsidR="000F14B4" w:rsidRPr="009D070D">
              <w:rPr>
                <w:rFonts w:cs="Arial"/>
              </w:rPr>
              <w:t xml:space="preserve"> (4.5)</w:t>
            </w:r>
          </w:p>
        </w:tc>
        <w:tc>
          <w:tcPr>
            <w:tcW w:w="0" w:type="auto"/>
            <w:vAlign w:val="center"/>
          </w:tcPr>
          <w:p w:rsidR="00B53E16" w:rsidRPr="009D070D" w:rsidRDefault="00B53E16" w:rsidP="00E03947">
            <w:pPr>
              <w:tabs>
                <w:tab w:val="left" w:pos="567"/>
                <w:tab w:val="left" w:pos="1134"/>
              </w:tabs>
              <w:spacing w:after="0"/>
              <w:jc w:val="center"/>
              <w:rPr>
                <w:rFonts w:cs="Arial"/>
              </w:rPr>
            </w:pPr>
            <w:r w:rsidRPr="009D070D">
              <w:rPr>
                <w:rFonts w:cs="Arial"/>
              </w:rPr>
              <w:t>4.0</w:t>
            </w:r>
          </w:p>
        </w:tc>
        <w:tc>
          <w:tcPr>
            <w:tcW w:w="0" w:type="auto"/>
            <w:vAlign w:val="center"/>
          </w:tcPr>
          <w:p w:rsidR="00B53E16" w:rsidRPr="009D070D" w:rsidRDefault="00B53E16" w:rsidP="00E03947">
            <w:pPr>
              <w:tabs>
                <w:tab w:val="left" w:pos="567"/>
                <w:tab w:val="left" w:pos="1134"/>
              </w:tabs>
              <w:spacing w:after="0"/>
              <w:jc w:val="center"/>
              <w:rPr>
                <w:rFonts w:cs="Arial"/>
              </w:rPr>
            </w:pPr>
          </w:p>
        </w:tc>
        <w:tc>
          <w:tcPr>
            <w:tcW w:w="0" w:type="auto"/>
            <w:vAlign w:val="center"/>
          </w:tcPr>
          <w:p w:rsidR="00B53E16" w:rsidRPr="009D070D" w:rsidRDefault="00B53E16" w:rsidP="00E03947">
            <w:pPr>
              <w:tabs>
                <w:tab w:val="left" w:pos="567"/>
                <w:tab w:val="left" w:pos="1134"/>
              </w:tabs>
              <w:spacing w:after="0"/>
              <w:jc w:val="center"/>
              <w:rPr>
                <w:rFonts w:cs="Arial"/>
              </w:rPr>
            </w:pPr>
          </w:p>
        </w:tc>
        <w:tc>
          <w:tcPr>
            <w:tcW w:w="0" w:type="auto"/>
            <w:vAlign w:val="center"/>
          </w:tcPr>
          <w:p w:rsidR="00B53E16" w:rsidRPr="009D070D" w:rsidRDefault="00B53E16" w:rsidP="00E03947">
            <w:pPr>
              <w:tabs>
                <w:tab w:val="left" w:pos="567"/>
                <w:tab w:val="left" w:pos="1134"/>
              </w:tabs>
              <w:spacing w:after="0"/>
              <w:jc w:val="center"/>
              <w:rPr>
                <w:rFonts w:cs="Arial"/>
              </w:rPr>
            </w:pPr>
          </w:p>
        </w:tc>
        <w:tc>
          <w:tcPr>
            <w:tcW w:w="0" w:type="auto"/>
            <w:vAlign w:val="center"/>
          </w:tcPr>
          <w:p w:rsidR="00B53E16" w:rsidRPr="009D070D" w:rsidRDefault="00B53E16" w:rsidP="00E03947">
            <w:pPr>
              <w:tabs>
                <w:tab w:val="left" w:pos="567"/>
                <w:tab w:val="left" w:pos="1134"/>
              </w:tabs>
              <w:spacing w:after="0"/>
              <w:jc w:val="center"/>
              <w:rPr>
                <w:rFonts w:cs="Arial"/>
              </w:rPr>
            </w:pPr>
          </w:p>
        </w:tc>
        <w:tc>
          <w:tcPr>
            <w:tcW w:w="1010" w:type="dxa"/>
            <w:vAlign w:val="center"/>
          </w:tcPr>
          <w:p w:rsidR="00B53E16" w:rsidRPr="009D070D" w:rsidRDefault="00B53E16" w:rsidP="00E03947">
            <w:pPr>
              <w:tabs>
                <w:tab w:val="left" w:pos="567"/>
                <w:tab w:val="left" w:pos="1134"/>
              </w:tabs>
              <w:spacing w:after="0"/>
              <w:jc w:val="center"/>
              <w:rPr>
                <w:rFonts w:cs="Arial"/>
              </w:rPr>
            </w:pPr>
            <w:r w:rsidRPr="009D070D">
              <w:rPr>
                <w:rFonts w:cs="Arial"/>
              </w:rPr>
              <w:t>4.0</w:t>
            </w:r>
          </w:p>
        </w:tc>
      </w:tr>
      <w:tr w:rsidR="00E03947" w:rsidRPr="00333713" w:rsidTr="002A03A8">
        <w:tc>
          <w:tcPr>
            <w:tcW w:w="0" w:type="auto"/>
            <w:vAlign w:val="center"/>
          </w:tcPr>
          <w:p w:rsidR="00E03947" w:rsidRPr="009D070D" w:rsidRDefault="00E03947" w:rsidP="000F14B4">
            <w:pPr>
              <w:tabs>
                <w:tab w:val="left" w:pos="567"/>
                <w:tab w:val="left" w:pos="1134"/>
              </w:tabs>
              <w:spacing w:after="0"/>
              <w:jc w:val="left"/>
              <w:rPr>
                <w:rFonts w:cs="Arial"/>
              </w:rPr>
            </w:pPr>
            <w:r w:rsidRPr="009D070D">
              <w:rPr>
                <w:rFonts w:cs="Arial"/>
              </w:rPr>
              <w:t>Impact of savings through service offers that can no longer be achieved (4.</w:t>
            </w:r>
            <w:r w:rsidR="000F14B4" w:rsidRPr="009D070D">
              <w:rPr>
                <w:rFonts w:cs="Arial"/>
              </w:rPr>
              <w:t>6</w:t>
            </w:r>
            <w:r w:rsidRPr="009D070D">
              <w:rPr>
                <w:rFonts w:cs="Arial"/>
              </w:rPr>
              <w:t>)</w:t>
            </w:r>
          </w:p>
        </w:tc>
        <w:tc>
          <w:tcPr>
            <w:tcW w:w="0" w:type="auto"/>
            <w:vAlign w:val="center"/>
          </w:tcPr>
          <w:p w:rsidR="00E03947" w:rsidRPr="009D070D" w:rsidRDefault="000A339D" w:rsidP="000A339D">
            <w:pPr>
              <w:tabs>
                <w:tab w:val="left" w:pos="567"/>
                <w:tab w:val="left" w:pos="1134"/>
              </w:tabs>
              <w:spacing w:after="0"/>
              <w:jc w:val="center"/>
              <w:rPr>
                <w:rFonts w:cs="Arial"/>
              </w:rPr>
            </w:pPr>
            <w:r>
              <w:rPr>
                <w:rFonts w:cs="Arial"/>
              </w:rPr>
              <w:t>7.4</w:t>
            </w:r>
          </w:p>
        </w:tc>
        <w:tc>
          <w:tcPr>
            <w:tcW w:w="0" w:type="auto"/>
            <w:vAlign w:val="center"/>
          </w:tcPr>
          <w:p w:rsidR="00E03947" w:rsidRPr="009D070D" w:rsidRDefault="00886C3A" w:rsidP="000A339D">
            <w:pPr>
              <w:tabs>
                <w:tab w:val="left" w:pos="567"/>
                <w:tab w:val="left" w:pos="1134"/>
              </w:tabs>
              <w:spacing w:after="0"/>
              <w:jc w:val="center"/>
              <w:rPr>
                <w:rFonts w:cs="Arial"/>
              </w:rPr>
            </w:pPr>
            <w:r>
              <w:rPr>
                <w:rFonts w:cs="Arial"/>
              </w:rPr>
              <w:t>-</w:t>
            </w:r>
            <w:r w:rsidR="000A339D">
              <w:rPr>
                <w:rFonts w:cs="Arial"/>
              </w:rPr>
              <w:t>0</w:t>
            </w:r>
            <w:r>
              <w:rPr>
                <w:rFonts w:cs="Arial"/>
              </w:rPr>
              <w:t>.8</w:t>
            </w:r>
          </w:p>
        </w:tc>
        <w:tc>
          <w:tcPr>
            <w:tcW w:w="0" w:type="auto"/>
            <w:vAlign w:val="center"/>
          </w:tcPr>
          <w:p w:rsidR="00E03947" w:rsidRPr="009D070D" w:rsidRDefault="00E03947" w:rsidP="00E03947">
            <w:pPr>
              <w:tabs>
                <w:tab w:val="left" w:pos="567"/>
                <w:tab w:val="left" w:pos="1134"/>
              </w:tabs>
              <w:spacing w:after="0"/>
              <w:jc w:val="center"/>
              <w:rPr>
                <w:rFonts w:cs="Arial"/>
              </w:rPr>
            </w:pPr>
            <w:r w:rsidRPr="009D070D">
              <w:rPr>
                <w:rFonts w:cs="Arial"/>
              </w:rPr>
              <w:t>-</w:t>
            </w:r>
          </w:p>
        </w:tc>
        <w:tc>
          <w:tcPr>
            <w:tcW w:w="0" w:type="auto"/>
            <w:vAlign w:val="center"/>
          </w:tcPr>
          <w:p w:rsidR="00E03947" w:rsidRPr="009D070D" w:rsidRDefault="00E03947" w:rsidP="00E03947">
            <w:pPr>
              <w:tabs>
                <w:tab w:val="left" w:pos="567"/>
                <w:tab w:val="left" w:pos="1134"/>
              </w:tabs>
              <w:spacing w:after="0"/>
              <w:jc w:val="center"/>
              <w:rPr>
                <w:rFonts w:cs="Arial"/>
              </w:rPr>
            </w:pPr>
            <w:r w:rsidRPr="009D070D">
              <w:rPr>
                <w:rFonts w:cs="Arial"/>
              </w:rPr>
              <w:t>-</w:t>
            </w:r>
          </w:p>
        </w:tc>
        <w:tc>
          <w:tcPr>
            <w:tcW w:w="0" w:type="auto"/>
            <w:vAlign w:val="center"/>
          </w:tcPr>
          <w:p w:rsidR="00E03947" w:rsidRPr="009D070D" w:rsidRDefault="00E03947" w:rsidP="00E03947">
            <w:pPr>
              <w:tabs>
                <w:tab w:val="left" w:pos="567"/>
                <w:tab w:val="left" w:pos="1134"/>
              </w:tabs>
              <w:spacing w:after="0"/>
              <w:jc w:val="center"/>
              <w:rPr>
                <w:rFonts w:cs="Arial"/>
              </w:rPr>
            </w:pPr>
            <w:r w:rsidRPr="009D070D">
              <w:rPr>
                <w:rFonts w:cs="Arial"/>
              </w:rPr>
              <w:t>-</w:t>
            </w:r>
          </w:p>
        </w:tc>
        <w:tc>
          <w:tcPr>
            <w:tcW w:w="1010" w:type="dxa"/>
            <w:vAlign w:val="center"/>
          </w:tcPr>
          <w:p w:rsidR="00E03947" w:rsidRDefault="00D37069" w:rsidP="00490CAD">
            <w:pPr>
              <w:tabs>
                <w:tab w:val="left" w:pos="567"/>
                <w:tab w:val="left" w:pos="1134"/>
              </w:tabs>
              <w:spacing w:after="0"/>
              <w:jc w:val="center"/>
              <w:rPr>
                <w:rFonts w:cs="Arial"/>
              </w:rPr>
            </w:pPr>
            <w:r>
              <w:rPr>
                <w:rFonts w:cs="Arial"/>
              </w:rPr>
              <w:t>6</w:t>
            </w:r>
            <w:r w:rsidR="00886C3A">
              <w:rPr>
                <w:rFonts w:cs="Arial"/>
              </w:rPr>
              <w:t>.</w:t>
            </w:r>
            <w:r w:rsidR="00490CAD">
              <w:rPr>
                <w:rFonts w:cs="Arial"/>
              </w:rPr>
              <w:t>6</w:t>
            </w:r>
          </w:p>
          <w:p w:rsidR="00490CAD" w:rsidRPr="009D070D" w:rsidRDefault="00490CAD" w:rsidP="00490CAD">
            <w:pPr>
              <w:tabs>
                <w:tab w:val="left" w:pos="567"/>
                <w:tab w:val="left" w:pos="1134"/>
              </w:tabs>
              <w:spacing w:after="0"/>
              <w:jc w:val="center"/>
              <w:rPr>
                <w:rFonts w:cs="Arial"/>
              </w:rPr>
            </w:pPr>
          </w:p>
        </w:tc>
      </w:tr>
      <w:tr w:rsidR="001C5326" w:rsidRPr="00333713" w:rsidTr="002A03A8">
        <w:tc>
          <w:tcPr>
            <w:tcW w:w="0" w:type="auto"/>
            <w:vAlign w:val="center"/>
          </w:tcPr>
          <w:p w:rsidR="001C5326" w:rsidRDefault="001C5326" w:rsidP="000F14B4">
            <w:pPr>
              <w:tabs>
                <w:tab w:val="left" w:pos="567"/>
                <w:tab w:val="left" w:pos="1134"/>
              </w:tabs>
              <w:spacing w:after="0"/>
              <w:jc w:val="left"/>
              <w:rPr>
                <w:rFonts w:cs="Arial"/>
              </w:rPr>
            </w:pPr>
          </w:p>
          <w:p w:rsidR="001C5326" w:rsidRDefault="001C5326" w:rsidP="000F14B4">
            <w:pPr>
              <w:tabs>
                <w:tab w:val="left" w:pos="567"/>
                <w:tab w:val="left" w:pos="1134"/>
              </w:tabs>
              <w:spacing w:after="0"/>
              <w:jc w:val="left"/>
              <w:rPr>
                <w:rFonts w:cs="Arial"/>
              </w:rPr>
            </w:pPr>
            <w:r>
              <w:rPr>
                <w:rFonts w:cs="Arial"/>
              </w:rPr>
              <w:t>Revised Funding Gap</w:t>
            </w:r>
          </w:p>
          <w:p w:rsidR="001C5326" w:rsidRPr="009D070D" w:rsidRDefault="001C5326" w:rsidP="000F14B4">
            <w:pPr>
              <w:tabs>
                <w:tab w:val="left" w:pos="567"/>
                <w:tab w:val="left" w:pos="1134"/>
              </w:tabs>
              <w:spacing w:after="0"/>
              <w:jc w:val="left"/>
              <w:rPr>
                <w:rFonts w:cs="Arial"/>
              </w:rPr>
            </w:pPr>
          </w:p>
        </w:tc>
        <w:tc>
          <w:tcPr>
            <w:tcW w:w="0" w:type="auto"/>
            <w:vAlign w:val="center"/>
          </w:tcPr>
          <w:p w:rsidR="001C5326" w:rsidRPr="009D070D" w:rsidRDefault="00F43393" w:rsidP="000A339D">
            <w:pPr>
              <w:tabs>
                <w:tab w:val="left" w:pos="567"/>
                <w:tab w:val="left" w:pos="1134"/>
              </w:tabs>
              <w:spacing w:after="0"/>
              <w:jc w:val="center"/>
              <w:rPr>
                <w:rFonts w:cs="Arial"/>
              </w:rPr>
            </w:pPr>
            <w:r>
              <w:rPr>
                <w:rFonts w:cs="Arial"/>
              </w:rPr>
              <w:t>9</w:t>
            </w:r>
            <w:r w:rsidR="000A339D">
              <w:rPr>
                <w:rFonts w:cs="Arial"/>
              </w:rPr>
              <w:t>0</w:t>
            </w:r>
            <w:r>
              <w:rPr>
                <w:rFonts w:cs="Arial"/>
              </w:rPr>
              <w:t>.2</w:t>
            </w:r>
          </w:p>
        </w:tc>
        <w:tc>
          <w:tcPr>
            <w:tcW w:w="0" w:type="auto"/>
            <w:vAlign w:val="center"/>
          </w:tcPr>
          <w:p w:rsidR="001C5326" w:rsidRPr="009D070D" w:rsidRDefault="000A339D" w:rsidP="000A339D">
            <w:pPr>
              <w:tabs>
                <w:tab w:val="left" w:pos="567"/>
                <w:tab w:val="left" w:pos="1134"/>
              </w:tabs>
              <w:spacing w:after="0"/>
              <w:jc w:val="center"/>
              <w:rPr>
                <w:rFonts w:cs="Arial"/>
              </w:rPr>
            </w:pPr>
            <w:r>
              <w:rPr>
                <w:rFonts w:cs="Arial"/>
              </w:rPr>
              <w:t>21</w:t>
            </w:r>
            <w:r w:rsidR="001F0E9A">
              <w:rPr>
                <w:rFonts w:cs="Arial"/>
              </w:rPr>
              <w:t>.9</w:t>
            </w:r>
          </w:p>
        </w:tc>
        <w:tc>
          <w:tcPr>
            <w:tcW w:w="0" w:type="auto"/>
            <w:vAlign w:val="center"/>
          </w:tcPr>
          <w:p w:rsidR="001C5326" w:rsidRPr="009D070D" w:rsidRDefault="001C5326" w:rsidP="00E03947">
            <w:pPr>
              <w:tabs>
                <w:tab w:val="left" w:pos="567"/>
                <w:tab w:val="left" w:pos="1134"/>
              </w:tabs>
              <w:spacing w:after="0"/>
              <w:jc w:val="center"/>
              <w:rPr>
                <w:rFonts w:cs="Arial"/>
              </w:rPr>
            </w:pPr>
            <w:r>
              <w:rPr>
                <w:rFonts w:cs="Arial"/>
              </w:rPr>
              <w:t>56.0</w:t>
            </w:r>
          </w:p>
        </w:tc>
        <w:tc>
          <w:tcPr>
            <w:tcW w:w="0" w:type="auto"/>
            <w:vAlign w:val="center"/>
          </w:tcPr>
          <w:p w:rsidR="001C5326" w:rsidRPr="009D070D" w:rsidRDefault="001C5326" w:rsidP="00E03947">
            <w:pPr>
              <w:tabs>
                <w:tab w:val="left" w:pos="567"/>
                <w:tab w:val="left" w:pos="1134"/>
              </w:tabs>
              <w:spacing w:after="0"/>
              <w:jc w:val="center"/>
              <w:rPr>
                <w:rFonts w:cs="Arial"/>
              </w:rPr>
            </w:pPr>
            <w:r>
              <w:rPr>
                <w:rFonts w:cs="Arial"/>
              </w:rPr>
              <w:t>47.6</w:t>
            </w:r>
          </w:p>
        </w:tc>
        <w:tc>
          <w:tcPr>
            <w:tcW w:w="0" w:type="auto"/>
            <w:vAlign w:val="center"/>
          </w:tcPr>
          <w:p w:rsidR="001C5326" w:rsidRPr="009D070D" w:rsidRDefault="001C5326" w:rsidP="00E03947">
            <w:pPr>
              <w:tabs>
                <w:tab w:val="left" w:pos="567"/>
                <w:tab w:val="left" w:pos="1134"/>
              </w:tabs>
              <w:spacing w:after="0"/>
              <w:jc w:val="center"/>
              <w:rPr>
                <w:rFonts w:cs="Arial"/>
              </w:rPr>
            </w:pPr>
            <w:r>
              <w:rPr>
                <w:rFonts w:cs="Arial"/>
              </w:rPr>
              <w:t>46.3</w:t>
            </w:r>
          </w:p>
        </w:tc>
        <w:tc>
          <w:tcPr>
            <w:tcW w:w="1010" w:type="dxa"/>
            <w:vAlign w:val="center"/>
          </w:tcPr>
          <w:p w:rsidR="001C5326" w:rsidRPr="009D070D" w:rsidRDefault="00F43393" w:rsidP="00E03947">
            <w:pPr>
              <w:tabs>
                <w:tab w:val="left" w:pos="567"/>
                <w:tab w:val="left" w:pos="1134"/>
              </w:tabs>
              <w:spacing w:after="0"/>
              <w:jc w:val="center"/>
              <w:rPr>
                <w:rFonts w:cs="Arial"/>
              </w:rPr>
            </w:pPr>
            <w:r>
              <w:rPr>
                <w:rFonts w:cs="Arial"/>
              </w:rPr>
              <w:t>262.0</w:t>
            </w:r>
          </w:p>
        </w:tc>
      </w:tr>
      <w:tr w:rsidR="007A0FF7" w:rsidRPr="00333713" w:rsidTr="002A03A8">
        <w:tc>
          <w:tcPr>
            <w:tcW w:w="0" w:type="auto"/>
            <w:vAlign w:val="center"/>
          </w:tcPr>
          <w:p w:rsidR="007A0FF7" w:rsidRDefault="007A0FF7" w:rsidP="000F14B4">
            <w:pPr>
              <w:tabs>
                <w:tab w:val="left" w:pos="567"/>
                <w:tab w:val="left" w:pos="1134"/>
              </w:tabs>
              <w:spacing w:after="0"/>
              <w:jc w:val="left"/>
              <w:rPr>
                <w:rFonts w:cs="Arial"/>
              </w:rPr>
            </w:pPr>
            <w:r>
              <w:rPr>
                <w:rFonts w:cs="Arial"/>
              </w:rPr>
              <w:t>Change in Funding Gap</w:t>
            </w:r>
          </w:p>
          <w:p w:rsidR="007A0FF7" w:rsidRDefault="007A0FF7" w:rsidP="000F14B4">
            <w:pPr>
              <w:tabs>
                <w:tab w:val="left" w:pos="567"/>
                <w:tab w:val="left" w:pos="1134"/>
              </w:tabs>
              <w:spacing w:after="0"/>
              <w:jc w:val="left"/>
              <w:rPr>
                <w:rFonts w:cs="Arial"/>
              </w:rPr>
            </w:pPr>
          </w:p>
        </w:tc>
        <w:tc>
          <w:tcPr>
            <w:tcW w:w="0" w:type="auto"/>
            <w:vAlign w:val="center"/>
          </w:tcPr>
          <w:p w:rsidR="007A0FF7" w:rsidRDefault="007A0FF7" w:rsidP="000A339D">
            <w:pPr>
              <w:tabs>
                <w:tab w:val="left" w:pos="567"/>
                <w:tab w:val="left" w:pos="1134"/>
              </w:tabs>
              <w:spacing w:after="0"/>
              <w:jc w:val="center"/>
              <w:rPr>
                <w:rFonts w:cs="Arial"/>
              </w:rPr>
            </w:pPr>
            <w:r>
              <w:rPr>
                <w:rFonts w:cs="Arial"/>
              </w:rPr>
              <w:t>2</w:t>
            </w:r>
            <w:r w:rsidR="000A339D">
              <w:rPr>
                <w:rFonts w:cs="Arial"/>
              </w:rPr>
              <w:t>4</w:t>
            </w:r>
            <w:r>
              <w:rPr>
                <w:rFonts w:cs="Arial"/>
              </w:rPr>
              <w:t>.3</w:t>
            </w:r>
          </w:p>
        </w:tc>
        <w:tc>
          <w:tcPr>
            <w:tcW w:w="0" w:type="auto"/>
            <w:vAlign w:val="center"/>
          </w:tcPr>
          <w:p w:rsidR="007A0FF7" w:rsidRDefault="000A339D" w:rsidP="000A339D">
            <w:pPr>
              <w:tabs>
                <w:tab w:val="left" w:pos="567"/>
                <w:tab w:val="left" w:pos="1134"/>
              </w:tabs>
              <w:spacing w:after="0"/>
              <w:jc w:val="center"/>
              <w:rPr>
                <w:rFonts w:cs="Arial"/>
              </w:rPr>
            </w:pPr>
            <w:r>
              <w:rPr>
                <w:rFonts w:cs="Arial"/>
              </w:rPr>
              <w:t>0.7</w:t>
            </w:r>
          </w:p>
        </w:tc>
        <w:tc>
          <w:tcPr>
            <w:tcW w:w="0" w:type="auto"/>
            <w:vAlign w:val="center"/>
          </w:tcPr>
          <w:p w:rsidR="007A0FF7" w:rsidRDefault="007A0FF7" w:rsidP="00E03947">
            <w:pPr>
              <w:tabs>
                <w:tab w:val="left" w:pos="567"/>
                <w:tab w:val="left" w:pos="1134"/>
              </w:tabs>
              <w:spacing w:after="0"/>
              <w:jc w:val="center"/>
              <w:rPr>
                <w:rFonts w:cs="Arial"/>
              </w:rPr>
            </w:pPr>
            <w:r>
              <w:rPr>
                <w:rFonts w:cs="Arial"/>
              </w:rPr>
              <w:t>5.9</w:t>
            </w:r>
          </w:p>
        </w:tc>
        <w:tc>
          <w:tcPr>
            <w:tcW w:w="0" w:type="auto"/>
            <w:vAlign w:val="center"/>
          </w:tcPr>
          <w:p w:rsidR="007A0FF7" w:rsidRDefault="007A0FF7" w:rsidP="00E03947">
            <w:pPr>
              <w:tabs>
                <w:tab w:val="left" w:pos="567"/>
                <w:tab w:val="left" w:pos="1134"/>
              </w:tabs>
              <w:spacing w:after="0"/>
              <w:jc w:val="center"/>
              <w:rPr>
                <w:rFonts w:cs="Arial"/>
              </w:rPr>
            </w:pPr>
            <w:r>
              <w:rPr>
                <w:rFonts w:cs="Arial"/>
              </w:rPr>
              <w:t>4.3</w:t>
            </w:r>
          </w:p>
        </w:tc>
        <w:tc>
          <w:tcPr>
            <w:tcW w:w="0" w:type="auto"/>
            <w:vAlign w:val="center"/>
          </w:tcPr>
          <w:p w:rsidR="007A0FF7" w:rsidRDefault="007A0FF7" w:rsidP="00E03947">
            <w:pPr>
              <w:tabs>
                <w:tab w:val="left" w:pos="567"/>
                <w:tab w:val="left" w:pos="1134"/>
              </w:tabs>
              <w:spacing w:after="0"/>
              <w:jc w:val="center"/>
              <w:rPr>
                <w:rFonts w:cs="Arial"/>
              </w:rPr>
            </w:pPr>
            <w:r>
              <w:rPr>
                <w:rFonts w:cs="Arial"/>
              </w:rPr>
              <w:t>3.6</w:t>
            </w:r>
          </w:p>
        </w:tc>
        <w:tc>
          <w:tcPr>
            <w:tcW w:w="1010" w:type="dxa"/>
            <w:vAlign w:val="center"/>
          </w:tcPr>
          <w:p w:rsidR="007A0FF7" w:rsidRDefault="007A0FF7" w:rsidP="00E03947">
            <w:pPr>
              <w:tabs>
                <w:tab w:val="left" w:pos="567"/>
                <w:tab w:val="left" w:pos="1134"/>
              </w:tabs>
              <w:spacing w:after="0"/>
              <w:jc w:val="center"/>
              <w:rPr>
                <w:rFonts w:cs="Arial"/>
              </w:rPr>
            </w:pPr>
            <w:r>
              <w:rPr>
                <w:rFonts w:cs="Arial"/>
              </w:rPr>
              <w:t>38.8</w:t>
            </w:r>
          </w:p>
        </w:tc>
      </w:tr>
    </w:tbl>
    <w:p w:rsidR="00696A7C" w:rsidRPr="002E3569" w:rsidRDefault="00696A7C" w:rsidP="003D58F1">
      <w:pPr>
        <w:tabs>
          <w:tab w:val="left" w:pos="567"/>
          <w:tab w:val="left" w:pos="1134"/>
        </w:tabs>
        <w:spacing w:after="0"/>
        <w:rPr>
          <w:rFonts w:cs="Arial"/>
          <w:highlight w:val="green"/>
        </w:rPr>
      </w:pPr>
    </w:p>
    <w:p w:rsidR="006D4231" w:rsidRPr="00967ED5" w:rsidRDefault="006D4231" w:rsidP="003D58F1">
      <w:pPr>
        <w:tabs>
          <w:tab w:val="left" w:pos="567"/>
          <w:tab w:val="left" w:pos="1134"/>
        </w:tabs>
        <w:spacing w:after="0"/>
        <w:rPr>
          <w:rFonts w:cs="Arial"/>
          <w:i/>
        </w:rPr>
      </w:pPr>
      <w:r w:rsidRPr="00967ED5">
        <w:rPr>
          <w:rFonts w:cs="Arial"/>
          <w:i/>
        </w:rPr>
        <w:t>Note: Forecast</w:t>
      </w:r>
      <w:r w:rsidR="009C183C">
        <w:rPr>
          <w:rFonts w:cs="Arial"/>
          <w:i/>
        </w:rPr>
        <w:t>ed</w:t>
      </w:r>
      <w:r w:rsidRPr="00967ED5">
        <w:rPr>
          <w:rFonts w:cs="Arial"/>
          <w:i/>
        </w:rPr>
        <w:t xml:space="preserve"> pressures are based on current information</w:t>
      </w:r>
      <w:r w:rsidR="009C183C">
        <w:rPr>
          <w:rFonts w:cs="Arial"/>
          <w:i/>
        </w:rPr>
        <w:t xml:space="preserve">.  </w:t>
      </w:r>
      <w:r w:rsidR="002D6267">
        <w:rPr>
          <w:rFonts w:cs="Arial"/>
          <w:i/>
        </w:rPr>
        <w:t>As</w:t>
      </w:r>
      <w:r w:rsidR="009C183C">
        <w:rPr>
          <w:rFonts w:cs="Arial"/>
          <w:i/>
        </w:rPr>
        <w:t xml:space="preserve"> </w:t>
      </w:r>
      <w:r w:rsidRPr="00967ED5">
        <w:rPr>
          <w:rFonts w:cs="Arial"/>
          <w:i/>
        </w:rPr>
        <w:t xml:space="preserve">further information is received </w:t>
      </w:r>
      <w:r w:rsidR="002D6267">
        <w:rPr>
          <w:rFonts w:cs="Arial"/>
          <w:i/>
        </w:rPr>
        <w:t xml:space="preserve">the data is subject to </w:t>
      </w:r>
      <w:r w:rsidR="007A796C">
        <w:rPr>
          <w:rFonts w:cs="Arial"/>
          <w:i/>
        </w:rPr>
        <w:t xml:space="preserve">ongoing </w:t>
      </w:r>
      <w:r w:rsidR="002D6267">
        <w:rPr>
          <w:rFonts w:cs="Arial"/>
          <w:i/>
        </w:rPr>
        <w:t>scrutiny and verification by services</w:t>
      </w:r>
      <w:r w:rsidR="00122E8D">
        <w:rPr>
          <w:rFonts w:cs="Arial"/>
          <w:i/>
        </w:rPr>
        <w:t>. T</w:t>
      </w:r>
      <w:r w:rsidRPr="00967ED5">
        <w:rPr>
          <w:rFonts w:cs="Arial"/>
          <w:i/>
        </w:rPr>
        <w:t xml:space="preserve">he forecast will continue to be developed </w:t>
      </w:r>
      <w:r w:rsidR="007A796C">
        <w:rPr>
          <w:rFonts w:cs="Arial"/>
          <w:i/>
        </w:rPr>
        <w:t>which</w:t>
      </w:r>
      <w:r w:rsidRPr="00967ED5">
        <w:rPr>
          <w:rFonts w:cs="Arial"/>
          <w:i/>
        </w:rPr>
        <w:t xml:space="preserve"> could </w:t>
      </w:r>
      <w:r w:rsidR="00E644C2">
        <w:rPr>
          <w:rFonts w:cs="Arial"/>
          <w:i/>
        </w:rPr>
        <w:t>affect</w:t>
      </w:r>
      <w:r w:rsidRPr="00967ED5">
        <w:rPr>
          <w:rFonts w:cs="Arial"/>
          <w:i/>
        </w:rPr>
        <w:t xml:space="preserve"> further the </w:t>
      </w:r>
      <w:r w:rsidR="00E016F2">
        <w:rPr>
          <w:rFonts w:cs="Arial"/>
          <w:i/>
        </w:rPr>
        <w:t xml:space="preserve">estimated </w:t>
      </w:r>
      <w:r w:rsidRPr="00967ED5">
        <w:rPr>
          <w:rFonts w:cs="Arial"/>
          <w:i/>
        </w:rPr>
        <w:t>pressure on the revenue budget</w:t>
      </w:r>
      <w:r w:rsidR="009C183C">
        <w:rPr>
          <w:rFonts w:cs="Arial"/>
          <w:i/>
        </w:rPr>
        <w:t>.</w:t>
      </w:r>
    </w:p>
    <w:p w:rsidR="009C183C" w:rsidRDefault="009C183C" w:rsidP="003D58F1">
      <w:pPr>
        <w:autoSpaceDE/>
        <w:autoSpaceDN/>
        <w:adjustRightInd/>
        <w:spacing w:after="0"/>
        <w:rPr>
          <w:rFonts w:cs="Arial"/>
        </w:rPr>
      </w:pPr>
    </w:p>
    <w:p w:rsidR="00E1557C" w:rsidRDefault="00E1557C" w:rsidP="003D58F1">
      <w:pPr>
        <w:autoSpaceDE/>
        <w:autoSpaceDN/>
        <w:adjustRightInd/>
        <w:spacing w:after="0"/>
        <w:rPr>
          <w:rFonts w:cs="Arial"/>
        </w:rPr>
      </w:pPr>
      <w:r>
        <w:rPr>
          <w:rFonts w:cs="Arial"/>
        </w:rPr>
        <w:t xml:space="preserve">The main changes in the period </w:t>
      </w:r>
      <w:r w:rsidR="009C183C">
        <w:rPr>
          <w:rFonts w:cs="Arial"/>
        </w:rPr>
        <w:t>include</w:t>
      </w:r>
      <w:r>
        <w:rPr>
          <w:rFonts w:cs="Arial"/>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30"/>
        <w:gridCol w:w="1786"/>
      </w:tblGrid>
      <w:tr w:rsidR="009C183C" w:rsidTr="00C924A3">
        <w:tc>
          <w:tcPr>
            <w:tcW w:w="7230" w:type="dxa"/>
          </w:tcPr>
          <w:p w:rsidR="000112C8" w:rsidRPr="00122E8D" w:rsidRDefault="000112C8" w:rsidP="00122E8D">
            <w:pPr>
              <w:autoSpaceDE/>
              <w:autoSpaceDN/>
              <w:adjustRightInd/>
              <w:spacing w:after="0"/>
              <w:rPr>
                <w:rFonts w:cs="Arial"/>
              </w:rPr>
            </w:pPr>
          </w:p>
        </w:tc>
        <w:tc>
          <w:tcPr>
            <w:tcW w:w="1786" w:type="dxa"/>
          </w:tcPr>
          <w:p w:rsidR="009C183C" w:rsidRDefault="009C183C" w:rsidP="00C924A3">
            <w:pPr>
              <w:autoSpaceDE/>
              <w:autoSpaceDN/>
              <w:adjustRightInd/>
              <w:spacing w:after="0"/>
              <w:jc w:val="right"/>
              <w:rPr>
                <w:rFonts w:cs="Arial"/>
              </w:rPr>
            </w:pPr>
          </w:p>
        </w:tc>
      </w:tr>
      <w:tr w:rsidR="009C183C" w:rsidTr="00C924A3">
        <w:tc>
          <w:tcPr>
            <w:tcW w:w="7230" w:type="dxa"/>
          </w:tcPr>
          <w:p w:rsidR="000112C8" w:rsidRPr="000112C8" w:rsidRDefault="009C183C" w:rsidP="003D58F1">
            <w:pPr>
              <w:pStyle w:val="ListParagraph"/>
              <w:numPr>
                <w:ilvl w:val="0"/>
                <w:numId w:val="39"/>
              </w:numPr>
              <w:autoSpaceDE/>
              <w:autoSpaceDN/>
              <w:adjustRightInd/>
              <w:spacing w:after="0"/>
              <w:rPr>
                <w:rFonts w:cs="Arial"/>
              </w:rPr>
            </w:pPr>
            <w:r w:rsidRPr="000112C8">
              <w:rPr>
                <w:rFonts w:cs="Arial"/>
              </w:rPr>
              <w:t>Reduced inflationary pressure on waste</w:t>
            </w:r>
            <w:r w:rsidR="00E644C2">
              <w:rPr>
                <w:rFonts w:cs="Arial"/>
              </w:rPr>
              <w:t>.</w:t>
            </w:r>
          </w:p>
        </w:tc>
        <w:tc>
          <w:tcPr>
            <w:tcW w:w="1786" w:type="dxa"/>
          </w:tcPr>
          <w:p w:rsidR="009C183C" w:rsidRDefault="009C183C" w:rsidP="00C924A3">
            <w:pPr>
              <w:autoSpaceDE/>
              <w:autoSpaceDN/>
              <w:adjustRightInd/>
              <w:spacing w:after="0"/>
              <w:jc w:val="right"/>
              <w:rPr>
                <w:rFonts w:cs="Arial"/>
              </w:rPr>
            </w:pPr>
            <w:r>
              <w:rPr>
                <w:rFonts w:cs="Arial"/>
              </w:rPr>
              <w:t>-£5.8m</w:t>
            </w:r>
          </w:p>
        </w:tc>
      </w:tr>
      <w:tr w:rsidR="009C183C" w:rsidTr="00C924A3">
        <w:tc>
          <w:tcPr>
            <w:tcW w:w="7230" w:type="dxa"/>
          </w:tcPr>
          <w:p w:rsidR="000112C8" w:rsidRPr="000112C8" w:rsidRDefault="009C183C" w:rsidP="003D58F1">
            <w:pPr>
              <w:pStyle w:val="ListParagraph"/>
              <w:numPr>
                <w:ilvl w:val="0"/>
                <w:numId w:val="39"/>
              </w:numPr>
              <w:autoSpaceDE/>
              <w:autoSpaceDN/>
              <w:adjustRightInd/>
              <w:spacing w:after="0"/>
              <w:rPr>
                <w:rFonts w:cs="Arial"/>
              </w:rPr>
            </w:pPr>
            <w:r w:rsidRPr="000112C8">
              <w:rPr>
                <w:rFonts w:cs="Arial"/>
              </w:rPr>
              <w:t>Reduced inflationary pressure on adult social care</w:t>
            </w:r>
            <w:r w:rsidR="00E644C2">
              <w:rPr>
                <w:rFonts w:cs="Arial"/>
              </w:rPr>
              <w:t>.</w:t>
            </w:r>
          </w:p>
        </w:tc>
        <w:tc>
          <w:tcPr>
            <w:tcW w:w="1786" w:type="dxa"/>
          </w:tcPr>
          <w:p w:rsidR="009C183C" w:rsidRDefault="009C183C" w:rsidP="00C924A3">
            <w:pPr>
              <w:autoSpaceDE/>
              <w:autoSpaceDN/>
              <w:adjustRightInd/>
              <w:spacing w:after="0"/>
              <w:jc w:val="right"/>
              <w:rPr>
                <w:rFonts w:cs="Arial"/>
              </w:rPr>
            </w:pPr>
            <w:r>
              <w:rPr>
                <w:rFonts w:cs="Arial"/>
              </w:rPr>
              <w:t>-£5.6m</w:t>
            </w:r>
          </w:p>
        </w:tc>
      </w:tr>
      <w:tr w:rsidR="009C183C" w:rsidTr="00C924A3">
        <w:tc>
          <w:tcPr>
            <w:tcW w:w="7230" w:type="dxa"/>
          </w:tcPr>
          <w:p w:rsidR="000112C8" w:rsidRPr="000112C8" w:rsidRDefault="009C183C" w:rsidP="003D58F1">
            <w:pPr>
              <w:pStyle w:val="ListParagraph"/>
              <w:numPr>
                <w:ilvl w:val="0"/>
                <w:numId w:val="39"/>
              </w:numPr>
              <w:autoSpaceDE/>
              <w:autoSpaceDN/>
              <w:adjustRightInd/>
              <w:spacing w:after="0"/>
              <w:rPr>
                <w:rFonts w:cs="Arial"/>
              </w:rPr>
            </w:pPr>
            <w:r w:rsidRPr="000112C8">
              <w:rPr>
                <w:rFonts w:cs="Arial"/>
              </w:rPr>
              <w:t>The impact of the National Living Wage</w:t>
            </w:r>
            <w:r w:rsidR="00E644C2">
              <w:rPr>
                <w:rFonts w:cs="Arial"/>
              </w:rPr>
              <w:t>.</w:t>
            </w:r>
          </w:p>
        </w:tc>
        <w:tc>
          <w:tcPr>
            <w:tcW w:w="1786" w:type="dxa"/>
          </w:tcPr>
          <w:p w:rsidR="009C183C" w:rsidRDefault="009C183C" w:rsidP="00C924A3">
            <w:pPr>
              <w:autoSpaceDE/>
              <w:autoSpaceDN/>
              <w:adjustRightInd/>
              <w:spacing w:after="0"/>
              <w:jc w:val="right"/>
              <w:rPr>
                <w:rFonts w:cs="Arial"/>
              </w:rPr>
            </w:pPr>
            <w:r>
              <w:rPr>
                <w:rFonts w:cs="Arial"/>
              </w:rPr>
              <w:t>£34.6m</w:t>
            </w:r>
          </w:p>
        </w:tc>
      </w:tr>
      <w:tr w:rsidR="009C183C" w:rsidTr="00C924A3">
        <w:tc>
          <w:tcPr>
            <w:tcW w:w="7230" w:type="dxa"/>
          </w:tcPr>
          <w:p w:rsidR="009C183C" w:rsidRPr="000112C8" w:rsidRDefault="009C183C" w:rsidP="000112C8">
            <w:pPr>
              <w:pStyle w:val="ListParagraph"/>
              <w:numPr>
                <w:ilvl w:val="0"/>
                <w:numId w:val="39"/>
              </w:numPr>
              <w:autoSpaceDE/>
              <w:autoSpaceDN/>
              <w:adjustRightInd/>
              <w:spacing w:after="0"/>
              <w:rPr>
                <w:rFonts w:cs="Arial"/>
              </w:rPr>
            </w:pPr>
            <w:r w:rsidRPr="000112C8">
              <w:rPr>
                <w:rFonts w:cs="Arial"/>
              </w:rPr>
              <w:t>Increased demand for children's social care</w:t>
            </w:r>
            <w:r w:rsidR="00E644C2">
              <w:rPr>
                <w:rFonts w:cs="Arial"/>
              </w:rPr>
              <w:t>.</w:t>
            </w:r>
          </w:p>
        </w:tc>
        <w:tc>
          <w:tcPr>
            <w:tcW w:w="1786" w:type="dxa"/>
          </w:tcPr>
          <w:p w:rsidR="009C183C" w:rsidRDefault="009C183C" w:rsidP="00220D0A">
            <w:pPr>
              <w:autoSpaceDE/>
              <w:autoSpaceDN/>
              <w:adjustRightInd/>
              <w:spacing w:after="0"/>
              <w:jc w:val="right"/>
              <w:rPr>
                <w:rFonts w:cs="Arial"/>
              </w:rPr>
            </w:pPr>
            <w:r>
              <w:rPr>
                <w:rFonts w:cs="Arial"/>
              </w:rPr>
              <w:t>£</w:t>
            </w:r>
            <w:r w:rsidR="00220D0A">
              <w:rPr>
                <w:rFonts w:cs="Arial"/>
              </w:rPr>
              <w:t>9.1</w:t>
            </w:r>
            <w:r>
              <w:rPr>
                <w:rFonts w:cs="Arial"/>
              </w:rPr>
              <w:t>m</w:t>
            </w:r>
          </w:p>
        </w:tc>
      </w:tr>
    </w:tbl>
    <w:p w:rsidR="00E1557C" w:rsidRDefault="00E1557C" w:rsidP="003D58F1">
      <w:pPr>
        <w:autoSpaceDE/>
        <w:autoSpaceDN/>
        <w:adjustRightInd/>
        <w:spacing w:after="0"/>
        <w:rPr>
          <w:rFonts w:cs="Arial"/>
        </w:rPr>
      </w:pPr>
    </w:p>
    <w:p w:rsidR="006D4231" w:rsidRPr="00622095" w:rsidRDefault="00161C22" w:rsidP="003D58F1">
      <w:pPr>
        <w:autoSpaceDE/>
        <w:autoSpaceDN/>
        <w:adjustRightInd/>
        <w:spacing w:after="0"/>
        <w:rPr>
          <w:rFonts w:cs="Arial"/>
        </w:rPr>
      </w:pPr>
      <w:r>
        <w:rPr>
          <w:rFonts w:cs="Arial"/>
        </w:rPr>
        <w:t>Further details on the changes are detailed in section 4 of the report</w:t>
      </w:r>
      <w:r w:rsidR="006D4231" w:rsidRPr="00622095">
        <w:rPr>
          <w:rFonts w:cs="Arial"/>
        </w:rPr>
        <w:t>.</w:t>
      </w:r>
    </w:p>
    <w:p w:rsidR="003D58F1" w:rsidRPr="002E3569" w:rsidRDefault="003D58F1" w:rsidP="003D58F1">
      <w:pPr>
        <w:autoSpaceDE/>
        <w:autoSpaceDN/>
        <w:adjustRightInd/>
        <w:spacing w:after="0"/>
        <w:rPr>
          <w:rFonts w:cs="Arial"/>
          <w:highlight w:val="green"/>
        </w:rPr>
      </w:pPr>
    </w:p>
    <w:p w:rsidR="003D58F1" w:rsidRPr="005406C3" w:rsidRDefault="003D58F1" w:rsidP="003D58F1">
      <w:pPr>
        <w:tabs>
          <w:tab w:val="left" w:pos="567"/>
          <w:tab w:val="left" w:pos="1134"/>
        </w:tabs>
        <w:spacing w:after="0"/>
        <w:rPr>
          <w:rFonts w:cs="Arial"/>
          <w:i/>
        </w:rPr>
      </w:pPr>
    </w:p>
    <w:p w:rsidR="009215EC" w:rsidRDefault="009215EC" w:rsidP="003D58F1">
      <w:pPr>
        <w:tabs>
          <w:tab w:val="left" w:pos="567"/>
          <w:tab w:val="left" w:pos="1134"/>
        </w:tabs>
        <w:spacing w:after="0"/>
        <w:rPr>
          <w:rFonts w:cs="Arial"/>
        </w:rPr>
      </w:pPr>
      <w:r>
        <w:rPr>
          <w:rFonts w:cs="Arial"/>
        </w:rPr>
        <w:t xml:space="preserve">Sections 2 to 5 of this report will provide further detail of the factors affecting the forecasts included within the </w:t>
      </w:r>
      <w:r w:rsidR="00531A89">
        <w:rPr>
          <w:rFonts w:cs="Arial"/>
        </w:rPr>
        <w:t>M</w:t>
      </w:r>
      <w:r>
        <w:rPr>
          <w:rFonts w:cs="Arial"/>
        </w:rPr>
        <w:t>TFS position illustrated above.</w:t>
      </w:r>
    </w:p>
    <w:p w:rsidR="00531A89" w:rsidRDefault="00531A89" w:rsidP="003D58F1">
      <w:pPr>
        <w:spacing w:after="0"/>
        <w:ind w:left="567" w:hanging="567"/>
        <w:rPr>
          <w:rFonts w:cs="Arial"/>
          <w:b/>
        </w:rPr>
      </w:pPr>
    </w:p>
    <w:p w:rsidR="009215EC" w:rsidRPr="00387042" w:rsidRDefault="009215EC" w:rsidP="003D58F1">
      <w:pPr>
        <w:spacing w:after="0"/>
        <w:ind w:left="567" w:hanging="567"/>
        <w:rPr>
          <w:rFonts w:cs="Arial"/>
          <w:b/>
        </w:rPr>
      </w:pPr>
      <w:r>
        <w:rPr>
          <w:rFonts w:cs="Arial"/>
          <w:b/>
        </w:rPr>
        <w:t>1.3</w:t>
      </w:r>
      <w:r>
        <w:rPr>
          <w:rFonts w:cs="Arial"/>
          <w:b/>
        </w:rPr>
        <w:tab/>
      </w:r>
      <w:r w:rsidRPr="00387042">
        <w:rPr>
          <w:rFonts w:cs="Arial"/>
          <w:b/>
        </w:rPr>
        <w:t>Conclusion</w:t>
      </w:r>
    </w:p>
    <w:p w:rsidR="009215EC" w:rsidRDefault="009215EC" w:rsidP="003D58F1">
      <w:pPr>
        <w:tabs>
          <w:tab w:val="left" w:pos="567"/>
          <w:tab w:val="left" w:pos="1134"/>
        </w:tabs>
        <w:spacing w:after="0"/>
        <w:rPr>
          <w:rFonts w:cs="Arial"/>
        </w:rPr>
      </w:pPr>
    </w:p>
    <w:p w:rsidR="009215EC" w:rsidRDefault="009215EC" w:rsidP="003D58F1">
      <w:pPr>
        <w:spacing w:after="0"/>
        <w:rPr>
          <w:rFonts w:cs="Arial"/>
        </w:rPr>
      </w:pPr>
      <w:r w:rsidRPr="009756EE">
        <w:rPr>
          <w:rFonts w:cs="Arial"/>
        </w:rPr>
        <w:t xml:space="preserve">Lancashire County Council </w:t>
      </w:r>
      <w:r>
        <w:rPr>
          <w:rFonts w:cs="Arial"/>
        </w:rPr>
        <w:t>continues to face</w:t>
      </w:r>
      <w:r w:rsidRPr="009756EE">
        <w:rPr>
          <w:rFonts w:cs="Arial"/>
        </w:rPr>
        <w:t xml:space="preserve"> an unprecedented </w:t>
      </w:r>
      <w:r>
        <w:rPr>
          <w:rFonts w:cs="Arial"/>
        </w:rPr>
        <w:t xml:space="preserve">period of </w:t>
      </w:r>
      <w:r w:rsidRPr="009756EE">
        <w:rPr>
          <w:rFonts w:cs="Arial"/>
        </w:rPr>
        <w:t xml:space="preserve">financial </w:t>
      </w:r>
      <w:r>
        <w:rPr>
          <w:rFonts w:cs="Arial"/>
        </w:rPr>
        <w:t>constraint through to at least 2020/21</w:t>
      </w:r>
      <w:r w:rsidR="00522DCF">
        <w:rPr>
          <w:rFonts w:cs="Arial"/>
        </w:rPr>
        <w:t>.</w:t>
      </w:r>
    </w:p>
    <w:p w:rsidR="003D58F1" w:rsidRPr="009756EE" w:rsidRDefault="003D58F1" w:rsidP="003D58F1">
      <w:pPr>
        <w:spacing w:after="0"/>
        <w:rPr>
          <w:rFonts w:cs="Arial"/>
        </w:rPr>
      </w:pPr>
    </w:p>
    <w:p w:rsidR="009215EC" w:rsidRDefault="009215EC" w:rsidP="003D58F1">
      <w:pPr>
        <w:tabs>
          <w:tab w:val="left" w:pos="567"/>
          <w:tab w:val="left" w:pos="1134"/>
        </w:tabs>
        <w:spacing w:after="0"/>
        <w:rPr>
          <w:rFonts w:cs="Arial"/>
        </w:rPr>
      </w:pPr>
      <w:r>
        <w:rPr>
          <w:rFonts w:cs="Arial"/>
        </w:rPr>
        <w:t>Whilst the budget announcement by the Chancellor on 8</w:t>
      </w:r>
      <w:r w:rsidRPr="009215EC">
        <w:rPr>
          <w:rFonts w:cs="Arial"/>
          <w:vertAlign w:val="superscript"/>
        </w:rPr>
        <w:t>th</w:t>
      </w:r>
      <w:r>
        <w:rPr>
          <w:rFonts w:cs="Arial"/>
        </w:rPr>
        <w:t xml:space="preserve"> July 2015 has provided indicative figures that have been translated into a forecast of future funding levels, actual funding allocations will only be announced </w:t>
      </w:r>
      <w:r w:rsidR="00B6681B">
        <w:rPr>
          <w:rFonts w:cs="Arial"/>
        </w:rPr>
        <w:t xml:space="preserve">after </w:t>
      </w:r>
      <w:r>
        <w:rPr>
          <w:rFonts w:cs="Arial"/>
        </w:rPr>
        <w:t xml:space="preserve">the Chancellor's Autumn Statement in </w:t>
      </w:r>
      <w:r w:rsidR="003F3017">
        <w:rPr>
          <w:rFonts w:cs="Arial"/>
        </w:rPr>
        <w:t>November</w:t>
      </w:r>
      <w:r>
        <w:rPr>
          <w:rFonts w:cs="Arial"/>
        </w:rPr>
        <w:t>. It is not clear if this announcement will confirm funding beyond 2016/17 at this point, however there has been a significant amount of lobbying from the Local Government sector to encourage the D</w:t>
      </w:r>
      <w:r w:rsidR="00C4517D">
        <w:rPr>
          <w:rFonts w:cs="Arial"/>
        </w:rPr>
        <w:t xml:space="preserve">epartment for </w:t>
      </w:r>
      <w:r>
        <w:rPr>
          <w:rFonts w:cs="Arial"/>
        </w:rPr>
        <w:t>C</w:t>
      </w:r>
      <w:r w:rsidR="00C4517D">
        <w:rPr>
          <w:rFonts w:cs="Arial"/>
        </w:rPr>
        <w:t xml:space="preserve">ommunities and </w:t>
      </w:r>
      <w:r>
        <w:rPr>
          <w:rFonts w:cs="Arial"/>
        </w:rPr>
        <w:t>L</w:t>
      </w:r>
      <w:r w:rsidR="00C4517D">
        <w:rPr>
          <w:rFonts w:cs="Arial"/>
        </w:rPr>
        <w:t xml:space="preserve">ocal </w:t>
      </w:r>
      <w:r>
        <w:rPr>
          <w:rFonts w:cs="Arial"/>
        </w:rPr>
        <w:t>G</w:t>
      </w:r>
      <w:r w:rsidR="00C4517D">
        <w:rPr>
          <w:rFonts w:cs="Arial"/>
        </w:rPr>
        <w:t>overnment (DCLG)</w:t>
      </w:r>
      <w:r>
        <w:rPr>
          <w:rFonts w:cs="Arial"/>
        </w:rPr>
        <w:t xml:space="preserve"> to provide a multi-year settlement to assist with financial planning.</w:t>
      </w:r>
    </w:p>
    <w:p w:rsidR="003D58F1" w:rsidRDefault="003D58F1" w:rsidP="003D58F1">
      <w:pPr>
        <w:tabs>
          <w:tab w:val="left" w:pos="567"/>
          <w:tab w:val="left" w:pos="1134"/>
        </w:tabs>
        <w:spacing w:after="0"/>
        <w:rPr>
          <w:rFonts w:cs="Arial"/>
        </w:rPr>
      </w:pPr>
    </w:p>
    <w:p w:rsidR="009215EC" w:rsidRDefault="009215EC" w:rsidP="003D58F1">
      <w:pPr>
        <w:tabs>
          <w:tab w:val="left" w:pos="567"/>
          <w:tab w:val="left" w:pos="1134"/>
        </w:tabs>
        <w:spacing w:after="0"/>
        <w:rPr>
          <w:rFonts w:cs="Arial"/>
        </w:rPr>
      </w:pPr>
      <w:r>
        <w:rPr>
          <w:rFonts w:cs="Arial"/>
        </w:rPr>
        <w:t>Given the ongoing uncertainty in future years' funding it is clearly a risk that forecasts of funding for 2016/17 and future years may change, potentially significantly, from the figures brought into the MTFS.</w:t>
      </w:r>
    </w:p>
    <w:p w:rsidR="003D58F1" w:rsidRDefault="003D58F1" w:rsidP="003D58F1">
      <w:pPr>
        <w:tabs>
          <w:tab w:val="left" w:pos="567"/>
          <w:tab w:val="left" w:pos="1134"/>
        </w:tabs>
        <w:spacing w:after="0"/>
        <w:rPr>
          <w:rFonts w:cs="Arial"/>
        </w:rPr>
      </w:pPr>
    </w:p>
    <w:p w:rsidR="009215EC" w:rsidRDefault="009215EC" w:rsidP="003D58F1">
      <w:pPr>
        <w:spacing w:after="0"/>
        <w:rPr>
          <w:rFonts w:cs="Arial"/>
        </w:rPr>
      </w:pPr>
      <w:r w:rsidRPr="009756EE">
        <w:rPr>
          <w:rFonts w:cs="Arial"/>
        </w:rPr>
        <w:t xml:space="preserve">The financial commitment required to service statutory demand led services is almost certain to result in </w:t>
      </w:r>
      <w:r w:rsidR="001D538C">
        <w:rPr>
          <w:rFonts w:cs="Arial"/>
        </w:rPr>
        <w:t xml:space="preserve">ultimately </w:t>
      </w:r>
      <w:r w:rsidRPr="009756EE">
        <w:rPr>
          <w:rFonts w:cs="Arial"/>
        </w:rPr>
        <w:t xml:space="preserve">using up all available resources. </w:t>
      </w:r>
      <w:r>
        <w:rPr>
          <w:rFonts w:cs="Arial"/>
        </w:rPr>
        <w:t xml:space="preserve"> </w:t>
      </w:r>
      <w:r w:rsidR="001D538C">
        <w:rPr>
          <w:rFonts w:cs="Arial"/>
        </w:rPr>
        <w:t xml:space="preserve">The Base Budget Review has indicated that the 2016/17 and 2017/18 budgets will need to rely heavily on reserves in order to set a balanced budget.   </w:t>
      </w:r>
    </w:p>
    <w:p w:rsidR="003D58F1" w:rsidRPr="009756EE" w:rsidRDefault="003D58F1" w:rsidP="003D58F1">
      <w:pPr>
        <w:spacing w:after="0"/>
        <w:rPr>
          <w:rFonts w:cs="Arial"/>
        </w:rPr>
      </w:pPr>
    </w:p>
    <w:p w:rsidR="009C183C" w:rsidRPr="009756EE" w:rsidRDefault="009C183C" w:rsidP="009C183C">
      <w:pPr>
        <w:tabs>
          <w:tab w:val="left" w:pos="567"/>
          <w:tab w:val="left" w:pos="1134"/>
        </w:tabs>
        <w:spacing w:after="0"/>
        <w:rPr>
          <w:rFonts w:cs="Arial"/>
        </w:rPr>
      </w:pPr>
      <w:r>
        <w:rPr>
          <w:rFonts w:cs="Arial"/>
        </w:rPr>
        <w:t xml:space="preserve">The County Council, in redesigning the services it provides to the public faces the challenge of doing so whilst delivering further savings of </w:t>
      </w:r>
      <w:r w:rsidR="001F0E9A">
        <w:rPr>
          <w:rFonts w:cs="Arial"/>
        </w:rPr>
        <w:t>an estimated</w:t>
      </w:r>
      <w:r>
        <w:rPr>
          <w:rFonts w:cs="Arial"/>
        </w:rPr>
        <w:t xml:space="preserve"> £</w:t>
      </w:r>
      <w:r w:rsidR="002A501C">
        <w:rPr>
          <w:rFonts w:cs="Arial"/>
        </w:rPr>
        <w:t>262</w:t>
      </w:r>
      <w:r>
        <w:rPr>
          <w:rFonts w:cs="Arial"/>
        </w:rPr>
        <w:t>m over the next 5 years.</w:t>
      </w:r>
    </w:p>
    <w:p w:rsidR="0070208A" w:rsidRDefault="0070208A" w:rsidP="003D58F1">
      <w:pPr>
        <w:spacing w:after="0"/>
        <w:rPr>
          <w:rFonts w:cs="Arial"/>
        </w:rPr>
      </w:pPr>
    </w:p>
    <w:p w:rsidR="009215EC" w:rsidRDefault="0070208A" w:rsidP="003D58F1">
      <w:pPr>
        <w:spacing w:after="0"/>
        <w:rPr>
          <w:rFonts w:cs="Arial"/>
        </w:rPr>
      </w:pPr>
      <w:r w:rsidRPr="0070208A">
        <w:rPr>
          <w:rFonts w:cs="Arial"/>
          <w:b/>
        </w:rPr>
        <w:t>Significant</w:t>
      </w:r>
      <w:r w:rsidR="009215EC" w:rsidRPr="0070208A">
        <w:rPr>
          <w:rFonts w:cs="Arial"/>
          <w:b/>
        </w:rPr>
        <w:t xml:space="preserve"> reserves </w:t>
      </w:r>
      <w:r w:rsidR="00EE3ACD" w:rsidRPr="00D84332">
        <w:rPr>
          <w:rFonts w:cs="Arial"/>
          <w:b/>
        </w:rPr>
        <w:t xml:space="preserve">of </w:t>
      </w:r>
      <w:r w:rsidR="00EE3ACD" w:rsidRPr="000A4253">
        <w:rPr>
          <w:rFonts w:cs="Arial"/>
          <w:b/>
        </w:rPr>
        <w:t>£</w:t>
      </w:r>
      <w:r w:rsidR="00AF5B56" w:rsidRPr="000A4253">
        <w:rPr>
          <w:rFonts w:cs="Arial"/>
          <w:b/>
        </w:rPr>
        <w:t>19</w:t>
      </w:r>
      <w:r w:rsidR="00D84332" w:rsidRPr="000A4253">
        <w:rPr>
          <w:rFonts w:cs="Arial"/>
          <w:b/>
        </w:rPr>
        <w:t>.7</w:t>
      </w:r>
      <w:r w:rsidR="00AF5B56" w:rsidRPr="000A4253">
        <w:rPr>
          <w:rFonts w:cs="Arial"/>
          <w:b/>
        </w:rPr>
        <w:t>m</w:t>
      </w:r>
      <w:r w:rsidR="00EE3ACD">
        <w:rPr>
          <w:rFonts w:cs="Arial"/>
          <w:b/>
        </w:rPr>
        <w:t xml:space="preserve"> are currently forecast to be required to </w:t>
      </w:r>
      <w:r w:rsidRPr="0070208A">
        <w:rPr>
          <w:rFonts w:cs="Arial"/>
          <w:b/>
        </w:rPr>
        <w:t xml:space="preserve">bridge the </w:t>
      </w:r>
      <w:r w:rsidR="00EE3ACD">
        <w:rPr>
          <w:rFonts w:cs="Arial"/>
          <w:b/>
        </w:rPr>
        <w:t xml:space="preserve">estimated </w:t>
      </w:r>
      <w:r w:rsidR="009215EC" w:rsidRPr="0070208A">
        <w:rPr>
          <w:rFonts w:cs="Arial"/>
          <w:b/>
        </w:rPr>
        <w:t>2015/16 outturn</w:t>
      </w:r>
      <w:r w:rsidR="009C183C">
        <w:rPr>
          <w:rFonts w:cs="Arial"/>
          <w:b/>
        </w:rPr>
        <w:t xml:space="preserve"> </w:t>
      </w:r>
      <w:r w:rsidR="00EE3ACD">
        <w:rPr>
          <w:rFonts w:cs="Arial"/>
          <w:b/>
        </w:rPr>
        <w:t>overspend</w:t>
      </w:r>
      <w:r w:rsidR="009C183C">
        <w:rPr>
          <w:rFonts w:cs="Arial"/>
          <w:b/>
        </w:rPr>
        <w:t>.  T</w:t>
      </w:r>
      <w:r w:rsidR="009215EC" w:rsidRPr="0070208A">
        <w:rPr>
          <w:rFonts w:cs="Arial"/>
          <w:b/>
        </w:rPr>
        <w:t>here is</w:t>
      </w:r>
      <w:r w:rsidRPr="0070208A">
        <w:rPr>
          <w:rFonts w:cs="Arial"/>
          <w:b/>
        </w:rPr>
        <w:t xml:space="preserve"> therefore an urgent need to make </w:t>
      </w:r>
      <w:r>
        <w:rPr>
          <w:rFonts w:cs="Arial"/>
          <w:b/>
        </w:rPr>
        <w:t xml:space="preserve">the </w:t>
      </w:r>
      <w:r w:rsidR="009215EC" w:rsidRPr="0070208A">
        <w:rPr>
          <w:rFonts w:cs="Arial"/>
          <w:b/>
        </w:rPr>
        <w:t>service delivery decisions to ensure that a legal 2016/17 budget can be set</w:t>
      </w:r>
      <w:r w:rsidR="009215EC">
        <w:rPr>
          <w:rFonts w:cs="Arial"/>
        </w:rPr>
        <w:t xml:space="preserve">. </w:t>
      </w:r>
    </w:p>
    <w:p w:rsidR="00081179" w:rsidRDefault="00081179" w:rsidP="003D58F1">
      <w:pPr>
        <w:tabs>
          <w:tab w:val="left" w:pos="567"/>
          <w:tab w:val="left" w:pos="1134"/>
        </w:tabs>
        <w:spacing w:after="0"/>
        <w:rPr>
          <w:rFonts w:cs="Arial"/>
        </w:rPr>
      </w:pPr>
    </w:p>
    <w:p w:rsidR="001C5326" w:rsidRDefault="001C5326">
      <w:pPr>
        <w:autoSpaceDE/>
        <w:autoSpaceDN/>
        <w:adjustRightInd/>
        <w:spacing w:after="0"/>
        <w:jc w:val="left"/>
        <w:rPr>
          <w:rFonts w:cs="Arial"/>
          <w:b/>
        </w:rPr>
      </w:pPr>
      <w:r>
        <w:rPr>
          <w:rFonts w:cs="Arial"/>
          <w:b/>
        </w:rPr>
        <w:br w:type="page"/>
      </w:r>
    </w:p>
    <w:p w:rsidR="00932C3B" w:rsidRDefault="009215EC" w:rsidP="003D58F1">
      <w:pPr>
        <w:tabs>
          <w:tab w:val="left" w:pos="567"/>
          <w:tab w:val="left" w:pos="1134"/>
        </w:tabs>
        <w:spacing w:after="0"/>
        <w:rPr>
          <w:rFonts w:cs="Arial"/>
          <w:b/>
        </w:rPr>
      </w:pPr>
      <w:r>
        <w:rPr>
          <w:rFonts w:cs="Arial"/>
          <w:b/>
        </w:rPr>
        <w:t>2</w:t>
      </w:r>
      <w:r w:rsidR="00932C3B">
        <w:rPr>
          <w:rFonts w:cs="Arial"/>
          <w:b/>
        </w:rPr>
        <w:t>.</w:t>
      </w:r>
      <w:r w:rsidR="00B45707">
        <w:rPr>
          <w:rFonts w:cs="Arial"/>
          <w:b/>
        </w:rPr>
        <w:t xml:space="preserve"> Government spending </w:t>
      </w:r>
    </w:p>
    <w:p w:rsidR="008F4954" w:rsidRPr="0043096A" w:rsidRDefault="008F4954" w:rsidP="003D58F1">
      <w:pPr>
        <w:tabs>
          <w:tab w:val="left" w:pos="567"/>
          <w:tab w:val="left" w:pos="1134"/>
        </w:tabs>
        <w:spacing w:after="0"/>
        <w:rPr>
          <w:rFonts w:cs="Arial"/>
          <w:b/>
        </w:rPr>
      </w:pPr>
    </w:p>
    <w:p w:rsidR="00932C3B" w:rsidRDefault="00CF0CA8" w:rsidP="003D58F1">
      <w:pPr>
        <w:tabs>
          <w:tab w:val="left" w:pos="567"/>
          <w:tab w:val="left" w:pos="1134"/>
        </w:tabs>
        <w:spacing w:after="0"/>
        <w:rPr>
          <w:rFonts w:cs="Arial"/>
        </w:rPr>
      </w:pPr>
      <w:r>
        <w:rPr>
          <w:rFonts w:cs="Arial"/>
        </w:rPr>
        <w:t>Resources received from the government are affected by both total planned spending plans and the distribution to different parts of the public sector</w:t>
      </w:r>
      <w:r w:rsidR="009C183C">
        <w:rPr>
          <w:rFonts w:cs="Arial"/>
        </w:rPr>
        <w:t>.</w:t>
      </w:r>
    </w:p>
    <w:p w:rsidR="001C5326" w:rsidRDefault="001C5326">
      <w:pPr>
        <w:autoSpaceDE/>
        <w:autoSpaceDN/>
        <w:adjustRightInd/>
        <w:spacing w:after="0"/>
        <w:jc w:val="left"/>
        <w:rPr>
          <w:rFonts w:cs="Arial"/>
          <w:b/>
        </w:rPr>
      </w:pPr>
    </w:p>
    <w:p w:rsidR="003D58F1" w:rsidRPr="00F41E2E" w:rsidRDefault="009215EC" w:rsidP="003D58F1">
      <w:pPr>
        <w:tabs>
          <w:tab w:val="left" w:pos="567"/>
          <w:tab w:val="left" w:pos="1134"/>
        </w:tabs>
        <w:spacing w:after="0"/>
        <w:rPr>
          <w:rFonts w:cs="Arial"/>
          <w:b/>
        </w:rPr>
      </w:pPr>
      <w:r>
        <w:rPr>
          <w:rFonts w:cs="Arial"/>
          <w:b/>
        </w:rPr>
        <w:t>2.1</w:t>
      </w:r>
      <w:r>
        <w:rPr>
          <w:rFonts w:cs="Arial"/>
          <w:b/>
        </w:rPr>
        <w:tab/>
      </w:r>
      <w:r w:rsidR="00333713" w:rsidRPr="00333713">
        <w:rPr>
          <w:b/>
        </w:rPr>
        <w:t xml:space="preserve"> </w:t>
      </w:r>
      <w:r w:rsidR="0070294D">
        <w:rPr>
          <w:b/>
        </w:rPr>
        <w:t>Government Public Spending Plans</w:t>
      </w:r>
    </w:p>
    <w:p w:rsidR="009C183C" w:rsidRDefault="009C183C" w:rsidP="003D58F1">
      <w:pPr>
        <w:tabs>
          <w:tab w:val="left" w:pos="567"/>
          <w:tab w:val="left" w:pos="1134"/>
        </w:tabs>
        <w:spacing w:after="0"/>
        <w:rPr>
          <w:rFonts w:eastAsia="Times New Roman" w:cs="Arial"/>
          <w:bCs/>
          <w:lang w:eastAsia="en-GB"/>
        </w:rPr>
      </w:pPr>
    </w:p>
    <w:p w:rsidR="002C5356" w:rsidRDefault="00932C3B" w:rsidP="003D58F1">
      <w:pPr>
        <w:tabs>
          <w:tab w:val="left" w:pos="567"/>
          <w:tab w:val="left" w:pos="1134"/>
        </w:tabs>
        <w:spacing w:after="0"/>
        <w:rPr>
          <w:rFonts w:eastAsia="Times New Roman" w:cs="Arial"/>
          <w:bCs/>
          <w:lang w:eastAsia="en-GB"/>
        </w:rPr>
      </w:pPr>
      <w:r w:rsidRPr="00A954EB">
        <w:rPr>
          <w:rFonts w:eastAsia="Times New Roman" w:cs="Arial"/>
          <w:bCs/>
          <w:lang w:eastAsia="en-GB"/>
        </w:rPr>
        <w:t xml:space="preserve">The Chancellor has </w:t>
      </w:r>
      <w:r w:rsidR="002C5356">
        <w:rPr>
          <w:rFonts w:eastAsia="Times New Roman" w:cs="Arial"/>
          <w:bCs/>
          <w:lang w:eastAsia="en-GB"/>
        </w:rPr>
        <w:t>provided</w:t>
      </w:r>
      <w:r w:rsidRPr="00A954EB">
        <w:rPr>
          <w:rFonts w:eastAsia="Times New Roman" w:cs="Arial"/>
          <w:bCs/>
          <w:lang w:eastAsia="en-GB"/>
        </w:rPr>
        <w:t xml:space="preserve"> projections for</w:t>
      </w:r>
      <w:r w:rsidR="002C5356">
        <w:rPr>
          <w:rFonts w:eastAsia="Times New Roman" w:cs="Arial"/>
          <w:bCs/>
          <w:lang w:eastAsia="en-GB"/>
        </w:rPr>
        <w:t xml:space="preserve"> the level of spending for government departments in future years which are called</w:t>
      </w:r>
      <w:r w:rsidRPr="00A954EB">
        <w:rPr>
          <w:rFonts w:eastAsia="Times New Roman" w:cs="Arial"/>
          <w:bCs/>
          <w:lang w:eastAsia="en-GB"/>
        </w:rPr>
        <w:t xml:space="preserve"> Resources Departmental Expenditure Limits (DELs)</w:t>
      </w:r>
      <w:r w:rsidR="002C5356">
        <w:rPr>
          <w:rFonts w:eastAsia="Times New Roman" w:cs="Arial"/>
          <w:bCs/>
          <w:lang w:eastAsia="en-GB"/>
        </w:rPr>
        <w:t xml:space="preserve">. </w:t>
      </w:r>
      <w:r w:rsidR="003D58F1">
        <w:rPr>
          <w:rFonts w:eastAsia="Times New Roman" w:cs="Arial"/>
          <w:bCs/>
          <w:lang w:eastAsia="en-GB"/>
        </w:rPr>
        <w:t xml:space="preserve"> </w:t>
      </w:r>
      <w:r w:rsidR="002C5356">
        <w:rPr>
          <w:rFonts w:eastAsia="Times New Roman" w:cs="Arial"/>
          <w:bCs/>
          <w:lang w:eastAsia="en-GB"/>
        </w:rPr>
        <w:t>The</w:t>
      </w:r>
      <w:r w:rsidR="00522DCF">
        <w:rPr>
          <w:rFonts w:eastAsia="Times New Roman" w:cs="Arial"/>
          <w:bCs/>
          <w:lang w:eastAsia="en-GB"/>
        </w:rPr>
        <w:t>se</w:t>
      </w:r>
      <w:r w:rsidR="002C5356">
        <w:rPr>
          <w:rFonts w:eastAsia="Times New Roman" w:cs="Arial"/>
          <w:bCs/>
          <w:lang w:eastAsia="en-GB"/>
        </w:rPr>
        <w:t xml:space="preserve"> figures </w:t>
      </w:r>
      <w:r w:rsidR="00522DCF">
        <w:rPr>
          <w:rFonts w:eastAsia="Times New Roman" w:cs="Arial"/>
          <w:bCs/>
          <w:lang w:eastAsia="en-GB"/>
        </w:rPr>
        <w:t>are for</w:t>
      </w:r>
      <w:r w:rsidR="00B83345">
        <w:rPr>
          <w:rFonts w:eastAsia="Times New Roman" w:cs="Arial"/>
          <w:bCs/>
          <w:lang w:eastAsia="en-GB"/>
        </w:rPr>
        <w:t xml:space="preserve"> </w:t>
      </w:r>
      <w:r w:rsidR="002C5356">
        <w:rPr>
          <w:rFonts w:eastAsia="Times New Roman" w:cs="Arial"/>
          <w:bCs/>
          <w:lang w:eastAsia="en-GB"/>
        </w:rPr>
        <w:t>the total spend by all departments</w:t>
      </w:r>
      <w:r w:rsidR="00522DCF">
        <w:rPr>
          <w:rFonts w:eastAsia="Times New Roman" w:cs="Arial"/>
          <w:bCs/>
          <w:lang w:eastAsia="en-GB"/>
        </w:rPr>
        <w:t xml:space="preserve"> only</w:t>
      </w:r>
      <w:r w:rsidR="002C5356">
        <w:rPr>
          <w:rFonts w:eastAsia="Times New Roman" w:cs="Arial"/>
          <w:bCs/>
          <w:lang w:eastAsia="en-GB"/>
        </w:rPr>
        <w:t xml:space="preserve"> and no breakdown </w:t>
      </w:r>
      <w:r w:rsidR="00522DCF">
        <w:rPr>
          <w:rFonts w:eastAsia="Times New Roman" w:cs="Arial"/>
          <w:bCs/>
          <w:lang w:eastAsia="en-GB"/>
        </w:rPr>
        <w:t xml:space="preserve">by department </w:t>
      </w:r>
      <w:r w:rsidR="002C5356">
        <w:rPr>
          <w:rFonts w:eastAsia="Times New Roman" w:cs="Arial"/>
          <w:bCs/>
          <w:lang w:eastAsia="en-GB"/>
        </w:rPr>
        <w:t>has been provided.</w:t>
      </w:r>
    </w:p>
    <w:p w:rsidR="003D58F1" w:rsidRDefault="003D58F1" w:rsidP="003D58F1">
      <w:pPr>
        <w:tabs>
          <w:tab w:val="left" w:pos="567"/>
          <w:tab w:val="left" w:pos="1134"/>
        </w:tabs>
        <w:spacing w:after="0"/>
        <w:rPr>
          <w:rFonts w:eastAsia="Times New Roman" w:cs="Arial"/>
          <w:bCs/>
          <w:lang w:eastAsia="en-GB"/>
        </w:rPr>
      </w:pPr>
    </w:p>
    <w:p w:rsidR="002C5356" w:rsidRDefault="002C5356" w:rsidP="003D58F1">
      <w:pPr>
        <w:tabs>
          <w:tab w:val="left" w:pos="567"/>
          <w:tab w:val="left" w:pos="1134"/>
        </w:tabs>
        <w:spacing w:after="0"/>
        <w:rPr>
          <w:rFonts w:eastAsia="Times New Roman" w:cs="Arial"/>
          <w:bCs/>
          <w:lang w:eastAsia="en-GB"/>
        </w:rPr>
      </w:pPr>
      <w:r>
        <w:rPr>
          <w:rFonts w:eastAsia="Times New Roman" w:cs="Arial"/>
          <w:bCs/>
          <w:lang w:eastAsia="en-GB"/>
        </w:rPr>
        <w:t>The published figures identified that the</w:t>
      </w:r>
      <w:r w:rsidR="00932C3B" w:rsidRPr="00A954EB">
        <w:rPr>
          <w:rFonts w:eastAsia="Times New Roman" w:cs="Arial"/>
          <w:bCs/>
          <w:lang w:eastAsia="en-GB"/>
        </w:rPr>
        <w:t xml:space="preserve"> </w:t>
      </w:r>
      <w:r>
        <w:rPr>
          <w:rFonts w:eastAsia="Times New Roman" w:cs="Arial"/>
          <w:bCs/>
          <w:lang w:eastAsia="en-GB"/>
        </w:rPr>
        <w:t>reduction</w:t>
      </w:r>
      <w:r w:rsidR="00932C3B" w:rsidRPr="00A954EB">
        <w:rPr>
          <w:rFonts w:eastAsia="Times New Roman" w:cs="Arial"/>
          <w:bCs/>
          <w:lang w:eastAsia="en-GB"/>
        </w:rPr>
        <w:t xml:space="preserve">s </w:t>
      </w:r>
      <w:r>
        <w:rPr>
          <w:rFonts w:eastAsia="Times New Roman" w:cs="Arial"/>
          <w:bCs/>
          <w:lang w:eastAsia="en-GB"/>
        </w:rPr>
        <w:t xml:space="preserve">made </w:t>
      </w:r>
      <w:r w:rsidR="00932C3B" w:rsidRPr="00A954EB">
        <w:rPr>
          <w:rFonts w:eastAsia="Times New Roman" w:cs="Arial"/>
          <w:bCs/>
          <w:lang w:eastAsia="en-GB"/>
        </w:rPr>
        <w:t xml:space="preserve">to </w:t>
      </w:r>
      <w:r>
        <w:rPr>
          <w:rFonts w:eastAsia="Times New Roman" w:cs="Arial"/>
          <w:bCs/>
          <w:lang w:eastAsia="en-GB"/>
        </w:rPr>
        <w:t>total d</w:t>
      </w:r>
      <w:r w:rsidR="00FA09E3">
        <w:rPr>
          <w:rFonts w:eastAsia="Times New Roman" w:cs="Arial"/>
          <w:bCs/>
          <w:lang w:eastAsia="en-GB"/>
        </w:rPr>
        <w:t xml:space="preserve">epartmental </w:t>
      </w:r>
      <w:r w:rsidR="00932C3B" w:rsidRPr="00A954EB">
        <w:rPr>
          <w:rFonts w:eastAsia="Times New Roman" w:cs="Arial"/>
          <w:bCs/>
          <w:lang w:eastAsia="en-GB"/>
        </w:rPr>
        <w:t xml:space="preserve">resources </w:t>
      </w:r>
      <w:r>
        <w:rPr>
          <w:rFonts w:eastAsia="Times New Roman" w:cs="Arial"/>
          <w:bCs/>
          <w:lang w:eastAsia="en-GB"/>
        </w:rPr>
        <w:t xml:space="preserve">are </w:t>
      </w:r>
      <w:r w:rsidR="00932C3B" w:rsidRPr="00A954EB">
        <w:rPr>
          <w:rFonts w:eastAsia="Times New Roman" w:cs="Arial"/>
          <w:bCs/>
          <w:lang w:eastAsia="en-GB"/>
        </w:rPr>
        <w:t>more gradual over the parliament</w:t>
      </w:r>
      <w:r w:rsidR="00B83345">
        <w:rPr>
          <w:rFonts w:eastAsia="Times New Roman" w:cs="Arial"/>
          <w:bCs/>
          <w:lang w:eastAsia="en-GB"/>
        </w:rPr>
        <w:t>ary term</w:t>
      </w:r>
      <w:r w:rsidR="00932C3B" w:rsidRPr="00A954EB">
        <w:rPr>
          <w:rFonts w:eastAsia="Times New Roman" w:cs="Arial"/>
          <w:bCs/>
          <w:lang w:eastAsia="en-GB"/>
        </w:rPr>
        <w:t xml:space="preserve"> than previously indicated</w:t>
      </w:r>
      <w:r>
        <w:rPr>
          <w:rFonts w:eastAsia="Times New Roman" w:cs="Arial"/>
          <w:bCs/>
          <w:lang w:eastAsia="en-GB"/>
        </w:rPr>
        <w:t xml:space="preserve"> (the period over which departmental savings have to be </w:t>
      </w:r>
      <w:r w:rsidR="00B83345">
        <w:rPr>
          <w:rFonts w:eastAsia="Times New Roman" w:cs="Arial"/>
          <w:bCs/>
          <w:lang w:eastAsia="en-GB"/>
        </w:rPr>
        <w:t>delivered has been extended by one</w:t>
      </w:r>
      <w:r>
        <w:rPr>
          <w:rFonts w:eastAsia="Times New Roman" w:cs="Arial"/>
          <w:bCs/>
          <w:lang w:eastAsia="en-GB"/>
        </w:rPr>
        <w:t xml:space="preserve"> year)</w:t>
      </w:r>
      <w:r w:rsidR="00932C3B" w:rsidRPr="00A954EB">
        <w:rPr>
          <w:rFonts w:eastAsia="Times New Roman" w:cs="Arial"/>
          <w:bCs/>
          <w:lang w:eastAsia="en-GB"/>
        </w:rPr>
        <w:t>.</w:t>
      </w:r>
    </w:p>
    <w:p w:rsidR="003D58F1" w:rsidRDefault="003D58F1" w:rsidP="003D58F1">
      <w:pPr>
        <w:tabs>
          <w:tab w:val="left" w:pos="567"/>
          <w:tab w:val="left" w:pos="1134"/>
        </w:tabs>
        <w:spacing w:after="0"/>
        <w:rPr>
          <w:rFonts w:eastAsia="Times New Roman" w:cs="Arial"/>
          <w:bCs/>
          <w:lang w:eastAsia="en-GB"/>
        </w:rPr>
      </w:pPr>
    </w:p>
    <w:p w:rsidR="002C5356" w:rsidRDefault="00932C3B" w:rsidP="003D58F1">
      <w:pPr>
        <w:tabs>
          <w:tab w:val="left" w:pos="567"/>
          <w:tab w:val="left" w:pos="1134"/>
        </w:tabs>
        <w:spacing w:after="0"/>
        <w:rPr>
          <w:rFonts w:eastAsia="Times New Roman" w:cs="Arial"/>
          <w:bCs/>
          <w:lang w:eastAsia="en-GB"/>
        </w:rPr>
      </w:pPr>
      <w:r w:rsidRPr="00A954EB">
        <w:rPr>
          <w:rFonts w:eastAsia="Times New Roman" w:cs="Arial"/>
          <w:bCs/>
          <w:lang w:eastAsia="en-GB"/>
        </w:rPr>
        <w:t xml:space="preserve">However, there was </w:t>
      </w:r>
      <w:r w:rsidRPr="00522DCF">
        <w:rPr>
          <w:rFonts w:eastAsia="Times New Roman" w:cs="Arial"/>
          <w:b/>
          <w:bCs/>
          <w:lang w:eastAsia="en-GB"/>
        </w:rPr>
        <w:t>no specific information</w:t>
      </w:r>
      <w:r w:rsidR="00B83345" w:rsidRPr="00522DCF">
        <w:rPr>
          <w:rFonts w:eastAsia="Times New Roman" w:cs="Arial"/>
          <w:b/>
          <w:bCs/>
          <w:lang w:eastAsia="en-GB"/>
        </w:rPr>
        <w:t xml:space="preserve"> released</w:t>
      </w:r>
      <w:r w:rsidRPr="00522DCF">
        <w:rPr>
          <w:rFonts w:eastAsia="Times New Roman" w:cs="Arial"/>
          <w:b/>
          <w:bCs/>
          <w:lang w:eastAsia="en-GB"/>
        </w:rPr>
        <w:t xml:space="preserve"> on Local Government resources</w:t>
      </w:r>
      <w:r w:rsidRPr="00A954EB">
        <w:rPr>
          <w:rFonts w:eastAsia="Times New Roman" w:cs="Arial"/>
          <w:bCs/>
          <w:lang w:eastAsia="en-GB"/>
        </w:rPr>
        <w:t xml:space="preserve"> which will not be known until the Spending Review</w:t>
      </w:r>
      <w:r w:rsidR="002C5356">
        <w:rPr>
          <w:rFonts w:eastAsia="Times New Roman" w:cs="Arial"/>
          <w:bCs/>
          <w:lang w:eastAsia="en-GB"/>
        </w:rPr>
        <w:t xml:space="preserve"> is announced</w:t>
      </w:r>
      <w:r w:rsidRPr="00A954EB">
        <w:rPr>
          <w:rFonts w:eastAsia="Times New Roman" w:cs="Arial"/>
          <w:bCs/>
          <w:lang w:eastAsia="en-GB"/>
        </w:rPr>
        <w:t xml:space="preserve"> in the </w:t>
      </w:r>
      <w:r w:rsidR="003F3017">
        <w:rPr>
          <w:rFonts w:eastAsia="Times New Roman" w:cs="Arial"/>
          <w:bCs/>
          <w:lang w:eastAsia="en-GB"/>
        </w:rPr>
        <w:t>A</w:t>
      </w:r>
      <w:r w:rsidRPr="00A954EB">
        <w:rPr>
          <w:rFonts w:eastAsia="Times New Roman" w:cs="Arial"/>
          <w:bCs/>
          <w:lang w:eastAsia="en-GB"/>
        </w:rPr>
        <w:t>utumn</w:t>
      </w:r>
      <w:r w:rsidR="002C5356">
        <w:rPr>
          <w:rFonts w:eastAsia="Times New Roman" w:cs="Arial"/>
          <w:bCs/>
          <w:lang w:eastAsia="en-GB"/>
        </w:rPr>
        <w:t>.</w:t>
      </w:r>
    </w:p>
    <w:p w:rsidR="003D58F1" w:rsidRDefault="003D58F1" w:rsidP="003D58F1">
      <w:pPr>
        <w:tabs>
          <w:tab w:val="left" w:pos="567"/>
          <w:tab w:val="left" w:pos="1134"/>
        </w:tabs>
        <w:spacing w:after="0"/>
        <w:rPr>
          <w:rFonts w:eastAsia="Times New Roman" w:cs="Arial"/>
          <w:bCs/>
          <w:lang w:eastAsia="en-GB"/>
        </w:rPr>
      </w:pPr>
    </w:p>
    <w:p w:rsidR="00932C3B" w:rsidRDefault="002C5356" w:rsidP="003D58F1">
      <w:pPr>
        <w:tabs>
          <w:tab w:val="left" w:pos="567"/>
          <w:tab w:val="left" w:pos="1134"/>
        </w:tabs>
        <w:spacing w:after="0"/>
        <w:rPr>
          <w:rFonts w:eastAsia="Times New Roman" w:cs="Arial"/>
          <w:bCs/>
          <w:lang w:eastAsia="en-GB"/>
        </w:rPr>
      </w:pPr>
      <w:r>
        <w:rPr>
          <w:rFonts w:eastAsia="Times New Roman" w:cs="Arial"/>
          <w:bCs/>
          <w:lang w:eastAsia="en-GB"/>
        </w:rPr>
        <w:t>Specific a</w:t>
      </w:r>
      <w:r w:rsidR="00932C3B" w:rsidRPr="00A954EB">
        <w:rPr>
          <w:rFonts w:eastAsia="Times New Roman" w:cs="Arial"/>
          <w:bCs/>
          <w:lang w:eastAsia="en-GB"/>
        </w:rPr>
        <w:t xml:space="preserve">reas of expenditure </w:t>
      </w:r>
      <w:r>
        <w:rPr>
          <w:rFonts w:eastAsia="Times New Roman" w:cs="Arial"/>
          <w:bCs/>
          <w:lang w:eastAsia="en-GB"/>
        </w:rPr>
        <w:t xml:space="preserve">identified </w:t>
      </w:r>
      <w:r w:rsidR="00932C3B" w:rsidRPr="00A954EB">
        <w:rPr>
          <w:rFonts w:eastAsia="Times New Roman" w:cs="Arial"/>
          <w:bCs/>
          <w:lang w:eastAsia="en-GB"/>
        </w:rPr>
        <w:t>within the</w:t>
      </w:r>
      <w:r>
        <w:rPr>
          <w:rFonts w:eastAsia="Times New Roman" w:cs="Arial"/>
          <w:bCs/>
          <w:lang w:eastAsia="en-GB"/>
        </w:rPr>
        <w:t xml:space="preserve"> total DEL limit</w:t>
      </w:r>
      <w:r w:rsidR="00B83345">
        <w:rPr>
          <w:rFonts w:eastAsia="Times New Roman" w:cs="Arial"/>
          <w:bCs/>
          <w:lang w:eastAsia="en-GB"/>
        </w:rPr>
        <w:t xml:space="preserve"> figures</w:t>
      </w:r>
      <w:r w:rsidR="00932C3B" w:rsidRPr="00A954EB">
        <w:rPr>
          <w:rFonts w:eastAsia="Times New Roman" w:cs="Arial"/>
          <w:bCs/>
          <w:lang w:eastAsia="en-GB"/>
        </w:rPr>
        <w:t xml:space="preserve"> that were announced are:</w:t>
      </w:r>
    </w:p>
    <w:p w:rsidR="003D58F1" w:rsidRPr="00A954EB" w:rsidRDefault="003D58F1" w:rsidP="003D58F1">
      <w:pPr>
        <w:tabs>
          <w:tab w:val="left" w:pos="567"/>
          <w:tab w:val="left" w:pos="1134"/>
        </w:tabs>
        <w:spacing w:after="0"/>
        <w:rPr>
          <w:rFonts w:cs="Arial"/>
        </w:rPr>
      </w:pPr>
    </w:p>
    <w:p w:rsidR="00932C3B" w:rsidRPr="00A954EB" w:rsidRDefault="00932C3B" w:rsidP="00D94092">
      <w:pPr>
        <w:pStyle w:val="ListParagraph"/>
        <w:numPr>
          <w:ilvl w:val="0"/>
          <w:numId w:val="25"/>
        </w:numPr>
        <w:shd w:val="clear" w:color="auto" w:fill="FFFFFF"/>
        <w:tabs>
          <w:tab w:val="left" w:pos="567"/>
          <w:tab w:val="left" w:pos="1134"/>
        </w:tabs>
        <w:autoSpaceDE/>
        <w:autoSpaceDN/>
        <w:adjustRightInd/>
        <w:spacing w:after="0"/>
        <w:ind w:left="567" w:hanging="567"/>
        <w:rPr>
          <w:rFonts w:eastAsia="Times New Roman" w:cs="Arial"/>
          <w:lang w:eastAsia="en-GB"/>
        </w:rPr>
      </w:pPr>
      <w:r w:rsidRPr="00A954EB">
        <w:rPr>
          <w:rFonts w:eastAsia="Times New Roman" w:cs="Arial"/>
          <w:lang w:eastAsia="en-GB"/>
        </w:rPr>
        <w:t>NHS will receive a further £8bn by 2020 (in addition to the £2bn already announced).</w:t>
      </w:r>
    </w:p>
    <w:p w:rsidR="00932C3B" w:rsidRPr="00A954EB" w:rsidRDefault="00932C3B" w:rsidP="00D94092">
      <w:pPr>
        <w:pStyle w:val="ListParagraph"/>
        <w:numPr>
          <w:ilvl w:val="0"/>
          <w:numId w:val="25"/>
        </w:numPr>
        <w:shd w:val="clear" w:color="auto" w:fill="FFFFFF"/>
        <w:tabs>
          <w:tab w:val="left" w:pos="567"/>
          <w:tab w:val="left" w:pos="1134"/>
        </w:tabs>
        <w:autoSpaceDE/>
        <w:autoSpaceDN/>
        <w:adjustRightInd/>
        <w:spacing w:after="0"/>
        <w:ind w:left="567" w:hanging="567"/>
        <w:rPr>
          <w:rFonts w:eastAsia="Times New Roman" w:cs="Arial"/>
          <w:lang w:eastAsia="en-GB"/>
        </w:rPr>
      </w:pPr>
      <w:r w:rsidRPr="00A954EB">
        <w:rPr>
          <w:rFonts w:eastAsia="Times New Roman" w:cs="Arial"/>
          <w:lang w:eastAsia="en-GB"/>
        </w:rPr>
        <w:t>The government is to meet the NATO target of spending 2% of GDP on defence each year.</w:t>
      </w:r>
    </w:p>
    <w:p w:rsidR="00932C3B" w:rsidRPr="00A954EB" w:rsidRDefault="00932C3B" w:rsidP="00D94092">
      <w:pPr>
        <w:pStyle w:val="ListParagraph"/>
        <w:numPr>
          <w:ilvl w:val="0"/>
          <w:numId w:val="25"/>
        </w:numPr>
        <w:shd w:val="clear" w:color="auto" w:fill="FFFFFF"/>
        <w:tabs>
          <w:tab w:val="left" w:pos="567"/>
          <w:tab w:val="left" w:pos="1134"/>
        </w:tabs>
        <w:autoSpaceDE/>
        <w:autoSpaceDN/>
        <w:adjustRightInd/>
        <w:spacing w:after="0"/>
        <w:ind w:left="567" w:hanging="567"/>
        <w:rPr>
          <w:rFonts w:eastAsia="Times New Roman" w:cs="Arial"/>
          <w:lang w:eastAsia="en-GB"/>
        </w:rPr>
      </w:pPr>
      <w:r w:rsidRPr="00A954EB">
        <w:rPr>
          <w:rFonts w:eastAsia="Times New Roman" w:cs="Arial"/>
          <w:lang w:eastAsia="en-GB"/>
        </w:rPr>
        <w:t xml:space="preserve">During this parliament there is to be a real terms increase in expenditure on defence. </w:t>
      </w:r>
    </w:p>
    <w:p w:rsidR="00932C3B" w:rsidRDefault="00932C3B" w:rsidP="00D94092">
      <w:pPr>
        <w:pStyle w:val="Default"/>
        <w:numPr>
          <w:ilvl w:val="0"/>
          <w:numId w:val="25"/>
        </w:numPr>
        <w:tabs>
          <w:tab w:val="left" w:pos="567"/>
          <w:tab w:val="left" w:pos="1134"/>
        </w:tabs>
        <w:ind w:left="567" w:hanging="567"/>
        <w:jc w:val="both"/>
        <w:rPr>
          <w:rFonts w:eastAsia="Times New Roman"/>
          <w:color w:val="auto"/>
          <w:lang w:eastAsia="en-GB"/>
        </w:rPr>
      </w:pPr>
      <w:r w:rsidRPr="00A954EB">
        <w:rPr>
          <w:rFonts w:eastAsia="Times New Roman"/>
          <w:color w:val="auto"/>
          <w:lang w:eastAsia="en-GB"/>
        </w:rPr>
        <w:t xml:space="preserve">A new Joint Security Fund is to be created. </w:t>
      </w:r>
      <w:r>
        <w:rPr>
          <w:rFonts w:eastAsia="Times New Roman"/>
          <w:color w:val="auto"/>
          <w:lang w:eastAsia="en-GB"/>
        </w:rPr>
        <w:t xml:space="preserve"> </w:t>
      </w:r>
      <w:r w:rsidRPr="00A954EB">
        <w:rPr>
          <w:rFonts w:eastAsia="Times New Roman"/>
          <w:color w:val="auto"/>
          <w:lang w:eastAsia="en-GB"/>
        </w:rPr>
        <w:t>The government commits to make available up to an additional £1.5 billion a year by the end of the Parliament</w:t>
      </w:r>
      <w:r w:rsidR="00C4517D">
        <w:rPr>
          <w:rFonts w:eastAsia="Times New Roman"/>
          <w:color w:val="auto"/>
          <w:lang w:eastAsia="en-GB"/>
        </w:rPr>
        <w:t>.</w:t>
      </w:r>
      <w:r w:rsidRPr="00A954EB">
        <w:rPr>
          <w:rFonts w:eastAsia="Times New Roman"/>
          <w:color w:val="auto"/>
          <w:lang w:eastAsia="en-GB"/>
        </w:rPr>
        <w:t xml:space="preserve"> </w:t>
      </w:r>
    </w:p>
    <w:p w:rsidR="00932C3B" w:rsidRPr="00A954EB" w:rsidRDefault="00932C3B" w:rsidP="003D58F1">
      <w:pPr>
        <w:pStyle w:val="Default"/>
        <w:tabs>
          <w:tab w:val="left" w:pos="567"/>
          <w:tab w:val="left" w:pos="1134"/>
        </w:tabs>
        <w:jc w:val="both"/>
        <w:rPr>
          <w:rFonts w:eastAsia="Times New Roman"/>
          <w:color w:val="auto"/>
          <w:lang w:eastAsia="en-GB"/>
        </w:rPr>
      </w:pPr>
    </w:p>
    <w:p w:rsidR="00522DCF" w:rsidRDefault="00932C3B" w:rsidP="003D58F1">
      <w:pPr>
        <w:shd w:val="clear" w:color="auto" w:fill="FFFFFF"/>
        <w:tabs>
          <w:tab w:val="left" w:pos="567"/>
          <w:tab w:val="left" w:pos="1134"/>
        </w:tabs>
        <w:spacing w:after="0"/>
        <w:rPr>
          <w:rFonts w:eastAsia="Times New Roman" w:cs="Arial"/>
          <w:lang w:eastAsia="en-GB"/>
        </w:rPr>
      </w:pPr>
      <w:r w:rsidRPr="00A954EB">
        <w:rPr>
          <w:rFonts w:eastAsia="Times New Roman" w:cs="Arial"/>
          <w:lang w:eastAsia="en-GB"/>
        </w:rPr>
        <w:t xml:space="preserve">In total </w:t>
      </w:r>
      <w:r w:rsidRPr="00522DCF">
        <w:rPr>
          <w:rFonts w:eastAsia="Times New Roman" w:cs="Arial"/>
          <w:b/>
          <w:lang w:eastAsia="en-GB"/>
        </w:rPr>
        <w:t>£37bn of further spending cuts are required by 2020</w:t>
      </w:r>
      <w:r w:rsidRPr="00A954EB">
        <w:rPr>
          <w:rFonts w:eastAsia="Times New Roman" w:cs="Arial"/>
          <w:lang w:eastAsia="en-GB"/>
        </w:rPr>
        <w:t xml:space="preserve">. </w:t>
      </w:r>
      <w:r>
        <w:rPr>
          <w:rFonts w:eastAsia="Times New Roman" w:cs="Arial"/>
          <w:lang w:eastAsia="en-GB"/>
        </w:rPr>
        <w:t xml:space="preserve"> </w:t>
      </w:r>
      <w:r w:rsidRPr="00A954EB">
        <w:rPr>
          <w:rFonts w:eastAsia="Times New Roman" w:cs="Arial"/>
          <w:lang w:eastAsia="en-GB"/>
        </w:rPr>
        <w:t xml:space="preserve">Of this, the Budget included £12bn of welfare reductions and £5bn from the prevention of tax avoidance. </w:t>
      </w:r>
    </w:p>
    <w:p w:rsidR="003D58F1" w:rsidRDefault="003D58F1" w:rsidP="003D58F1">
      <w:pPr>
        <w:shd w:val="clear" w:color="auto" w:fill="FFFFFF"/>
        <w:tabs>
          <w:tab w:val="left" w:pos="567"/>
          <w:tab w:val="left" w:pos="1134"/>
        </w:tabs>
        <w:spacing w:after="0"/>
        <w:rPr>
          <w:rFonts w:eastAsia="Times New Roman" w:cs="Arial"/>
          <w:lang w:eastAsia="en-GB"/>
        </w:rPr>
      </w:pPr>
    </w:p>
    <w:p w:rsidR="00932C3B" w:rsidRDefault="00932C3B" w:rsidP="003D58F1">
      <w:pPr>
        <w:shd w:val="clear" w:color="auto" w:fill="FFFFFF"/>
        <w:tabs>
          <w:tab w:val="left" w:pos="567"/>
          <w:tab w:val="left" w:pos="1134"/>
        </w:tabs>
        <w:spacing w:after="0"/>
        <w:rPr>
          <w:rFonts w:eastAsia="Times New Roman" w:cs="Arial"/>
          <w:lang w:eastAsia="en-GB"/>
        </w:rPr>
      </w:pPr>
      <w:r w:rsidRPr="00522DCF">
        <w:rPr>
          <w:rFonts w:eastAsia="Times New Roman" w:cs="Arial"/>
          <w:b/>
          <w:lang w:eastAsia="en-GB"/>
        </w:rPr>
        <w:t xml:space="preserve">The remaining £20bn </w:t>
      </w:r>
      <w:r w:rsidR="00522DCF">
        <w:rPr>
          <w:rFonts w:eastAsia="Times New Roman" w:cs="Arial"/>
          <w:b/>
          <w:lang w:eastAsia="en-GB"/>
        </w:rPr>
        <w:t xml:space="preserve">of savings </w:t>
      </w:r>
      <w:r w:rsidRPr="00522DCF">
        <w:rPr>
          <w:rFonts w:eastAsia="Times New Roman" w:cs="Arial"/>
          <w:b/>
          <w:lang w:eastAsia="en-GB"/>
        </w:rPr>
        <w:t>will come from spending de</w:t>
      </w:r>
      <w:r w:rsidR="00B83345" w:rsidRPr="00522DCF">
        <w:rPr>
          <w:rFonts w:eastAsia="Times New Roman" w:cs="Arial"/>
          <w:b/>
          <w:lang w:eastAsia="en-GB"/>
        </w:rPr>
        <w:t>partments and will be set out in</w:t>
      </w:r>
      <w:r w:rsidRPr="00522DCF">
        <w:rPr>
          <w:rFonts w:eastAsia="Times New Roman" w:cs="Arial"/>
          <w:b/>
          <w:lang w:eastAsia="en-GB"/>
        </w:rPr>
        <w:t xml:space="preserve"> the Spending Review</w:t>
      </w:r>
      <w:r w:rsidR="00FA09E3">
        <w:rPr>
          <w:rFonts w:eastAsia="Times New Roman" w:cs="Arial"/>
          <w:b/>
          <w:lang w:eastAsia="en-GB"/>
        </w:rPr>
        <w:t xml:space="preserve"> published in the a</w:t>
      </w:r>
      <w:r w:rsidR="00522DCF">
        <w:rPr>
          <w:rFonts w:eastAsia="Times New Roman" w:cs="Arial"/>
          <w:b/>
          <w:lang w:eastAsia="en-GB"/>
        </w:rPr>
        <w:t>utumn of 2015</w:t>
      </w:r>
      <w:r w:rsidRPr="00522DCF">
        <w:rPr>
          <w:rFonts w:eastAsia="Times New Roman" w:cs="Arial"/>
          <w:b/>
          <w:lang w:eastAsia="en-GB"/>
        </w:rPr>
        <w:t>.</w:t>
      </w:r>
      <w:r w:rsidRPr="00A954EB">
        <w:rPr>
          <w:rFonts w:eastAsia="Times New Roman" w:cs="Arial"/>
          <w:lang w:eastAsia="en-GB"/>
        </w:rPr>
        <w:t xml:space="preserve">  The Chancellor did state </w:t>
      </w:r>
      <w:r w:rsidR="00EE3ACD">
        <w:rPr>
          <w:rFonts w:eastAsia="Times New Roman" w:cs="Arial"/>
          <w:lang w:eastAsia="en-GB"/>
        </w:rPr>
        <w:t xml:space="preserve">however </w:t>
      </w:r>
      <w:r w:rsidRPr="00A954EB">
        <w:rPr>
          <w:rFonts w:eastAsia="Times New Roman" w:cs="Arial"/>
          <w:lang w:eastAsia="en-GB"/>
        </w:rPr>
        <w:t>that "no year will see cuts as deep as those required in 2011/12 and 2012/13"</w:t>
      </w:r>
      <w:r>
        <w:rPr>
          <w:rFonts w:eastAsia="Times New Roman" w:cs="Arial"/>
          <w:lang w:eastAsia="en-GB"/>
        </w:rPr>
        <w:t>.</w:t>
      </w:r>
    </w:p>
    <w:p w:rsidR="003D58F1" w:rsidRDefault="003D58F1" w:rsidP="003D58F1">
      <w:pPr>
        <w:shd w:val="clear" w:color="auto" w:fill="FFFFFF"/>
        <w:tabs>
          <w:tab w:val="left" w:pos="567"/>
          <w:tab w:val="left" w:pos="1134"/>
        </w:tabs>
        <w:spacing w:after="0"/>
        <w:rPr>
          <w:rFonts w:eastAsia="Times New Roman" w:cs="Arial"/>
          <w:lang w:eastAsia="en-GB"/>
        </w:rPr>
      </w:pPr>
    </w:p>
    <w:p w:rsidR="001C5326" w:rsidRDefault="001C5326">
      <w:pPr>
        <w:autoSpaceDE/>
        <w:autoSpaceDN/>
        <w:adjustRightInd/>
        <w:spacing w:after="0"/>
        <w:jc w:val="left"/>
        <w:rPr>
          <w:rFonts w:eastAsia="Times New Roman" w:cs="Arial"/>
          <w:lang w:eastAsia="en-GB"/>
        </w:rPr>
      </w:pPr>
      <w:r>
        <w:rPr>
          <w:rFonts w:eastAsia="Times New Roman" w:cs="Arial"/>
          <w:lang w:eastAsia="en-GB"/>
        </w:rPr>
        <w:br w:type="page"/>
      </w:r>
    </w:p>
    <w:p w:rsidR="00415606" w:rsidRDefault="00415606" w:rsidP="003D58F1">
      <w:pPr>
        <w:shd w:val="clear" w:color="auto" w:fill="FFFFFF"/>
        <w:tabs>
          <w:tab w:val="left" w:pos="567"/>
          <w:tab w:val="left" w:pos="1134"/>
        </w:tabs>
        <w:spacing w:after="0"/>
        <w:rPr>
          <w:rFonts w:eastAsia="Times New Roman" w:cs="Arial"/>
          <w:lang w:eastAsia="en-GB"/>
        </w:rPr>
      </w:pPr>
      <w:r>
        <w:rPr>
          <w:rFonts w:eastAsia="Times New Roman" w:cs="Arial"/>
          <w:lang w:eastAsia="en-GB"/>
        </w:rPr>
        <w:t xml:space="preserve">In the recently published report by HM Treasury "A country that lives within its means – </w:t>
      </w:r>
      <w:r w:rsidR="00C4517D">
        <w:rPr>
          <w:rFonts w:eastAsia="Times New Roman" w:cs="Arial"/>
          <w:lang w:eastAsia="en-GB"/>
        </w:rPr>
        <w:t>s</w:t>
      </w:r>
      <w:r>
        <w:rPr>
          <w:rFonts w:eastAsia="Times New Roman" w:cs="Arial"/>
          <w:lang w:eastAsia="en-GB"/>
        </w:rPr>
        <w:t>pending review 2015"</w:t>
      </w:r>
      <w:r w:rsidR="000F0E5F">
        <w:rPr>
          <w:rFonts w:eastAsia="Times New Roman" w:cs="Arial"/>
          <w:lang w:eastAsia="en-GB"/>
        </w:rPr>
        <w:t>,</w:t>
      </w:r>
      <w:r>
        <w:rPr>
          <w:rFonts w:eastAsia="Times New Roman" w:cs="Arial"/>
          <w:lang w:eastAsia="en-GB"/>
        </w:rPr>
        <w:t xml:space="preserve"> the following table was included that demonstrates the profile of the £20bn of savings</w:t>
      </w:r>
      <w:r w:rsidR="00AB0E9A">
        <w:rPr>
          <w:rFonts w:eastAsia="Times New Roman" w:cs="Arial"/>
          <w:lang w:eastAsia="en-GB"/>
        </w:rPr>
        <w:t xml:space="preserve"> (referred to as 'consolidation')</w:t>
      </w:r>
      <w:r>
        <w:rPr>
          <w:rFonts w:eastAsia="Times New Roman" w:cs="Arial"/>
          <w:lang w:eastAsia="en-GB"/>
        </w:rPr>
        <w:t xml:space="preserve"> that departments will need to deliver:</w:t>
      </w:r>
    </w:p>
    <w:p w:rsidR="00EE3ACD" w:rsidRDefault="00EE3ACD" w:rsidP="003D58F1">
      <w:pPr>
        <w:shd w:val="clear" w:color="auto" w:fill="FFFFFF"/>
        <w:tabs>
          <w:tab w:val="left" w:pos="567"/>
          <w:tab w:val="left" w:pos="1134"/>
        </w:tabs>
        <w:spacing w:after="0"/>
        <w:rPr>
          <w:rFonts w:eastAsia="Times New Roman" w:cs="Arial"/>
          <w:lang w:eastAsia="en-GB"/>
        </w:rPr>
      </w:pPr>
    </w:p>
    <w:p w:rsidR="00415606" w:rsidRDefault="00415606" w:rsidP="003D58F1">
      <w:pPr>
        <w:shd w:val="clear" w:color="auto" w:fill="FFFFFF"/>
        <w:tabs>
          <w:tab w:val="left" w:pos="567"/>
          <w:tab w:val="left" w:pos="1134"/>
        </w:tabs>
        <w:spacing w:after="0"/>
        <w:rPr>
          <w:rFonts w:eastAsia="Times New Roman" w:cs="Arial"/>
          <w:lang w:eastAsia="en-GB"/>
        </w:rPr>
      </w:pPr>
      <w:r w:rsidRPr="00415606">
        <w:rPr>
          <w:rFonts w:eastAsia="Times New Roman" w:cs="Arial"/>
          <w:noProof/>
          <w:lang w:eastAsia="en-GB"/>
        </w:rPr>
        <w:drawing>
          <wp:inline distT="0" distB="0" distL="0" distR="0" wp14:anchorId="607D042D" wp14:editId="371618C7">
            <wp:extent cx="5831766" cy="32670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4645" cy="3268688"/>
                    </a:xfrm>
                    <a:prstGeom prst="rect">
                      <a:avLst/>
                    </a:prstGeom>
                    <a:noFill/>
                    <a:ln>
                      <a:noFill/>
                    </a:ln>
                  </pic:spPr>
                </pic:pic>
              </a:graphicData>
            </a:graphic>
          </wp:inline>
        </w:drawing>
      </w:r>
    </w:p>
    <w:p w:rsidR="003D58F1" w:rsidRDefault="003D58F1" w:rsidP="003D58F1">
      <w:pPr>
        <w:shd w:val="clear" w:color="auto" w:fill="FFFFFF"/>
        <w:tabs>
          <w:tab w:val="left" w:pos="567"/>
          <w:tab w:val="left" w:pos="1134"/>
        </w:tabs>
        <w:spacing w:after="0"/>
        <w:rPr>
          <w:rFonts w:eastAsia="Times New Roman" w:cs="Arial"/>
          <w:lang w:eastAsia="en-GB"/>
        </w:rPr>
      </w:pPr>
    </w:p>
    <w:p w:rsidR="00415606" w:rsidRDefault="00415606" w:rsidP="003D58F1">
      <w:pPr>
        <w:shd w:val="clear" w:color="auto" w:fill="FFFFFF"/>
        <w:tabs>
          <w:tab w:val="left" w:pos="567"/>
          <w:tab w:val="left" w:pos="1134"/>
        </w:tabs>
        <w:spacing w:after="0"/>
        <w:rPr>
          <w:rFonts w:eastAsia="Times New Roman" w:cs="Arial"/>
          <w:lang w:eastAsia="en-GB"/>
        </w:rPr>
      </w:pPr>
      <w:r>
        <w:rPr>
          <w:rFonts w:eastAsia="Times New Roman" w:cs="Arial"/>
          <w:lang w:eastAsia="en-GB"/>
        </w:rPr>
        <w:t xml:space="preserve">This shows that the profile of savings is not spread evenly over the period and supports the analysis included in </w:t>
      </w:r>
      <w:r w:rsidR="00C4517D">
        <w:rPr>
          <w:rFonts w:eastAsia="Times New Roman" w:cs="Arial"/>
          <w:lang w:eastAsia="en-GB"/>
        </w:rPr>
        <w:t>S</w:t>
      </w:r>
      <w:r>
        <w:rPr>
          <w:rFonts w:eastAsia="Times New Roman" w:cs="Arial"/>
          <w:lang w:eastAsia="en-GB"/>
        </w:rPr>
        <w:t xml:space="preserve">ection </w:t>
      </w:r>
      <w:r w:rsidR="00B6681B">
        <w:rPr>
          <w:rFonts w:eastAsia="Times New Roman" w:cs="Arial"/>
          <w:lang w:eastAsia="en-GB"/>
        </w:rPr>
        <w:t>3</w:t>
      </w:r>
      <w:r>
        <w:rPr>
          <w:rFonts w:eastAsia="Times New Roman" w:cs="Arial"/>
          <w:lang w:eastAsia="en-GB"/>
        </w:rPr>
        <w:t xml:space="preserve"> of this report that examines the future levels of funding the </w:t>
      </w:r>
      <w:r w:rsidR="000F0E5F">
        <w:rPr>
          <w:rFonts w:eastAsia="Times New Roman" w:cs="Arial"/>
          <w:lang w:eastAsia="en-GB"/>
        </w:rPr>
        <w:t xml:space="preserve">County </w:t>
      </w:r>
      <w:r>
        <w:rPr>
          <w:rFonts w:eastAsia="Times New Roman" w:cs="Arial"/>
          <w:lang w:eastAsia="en-GB"/>
        </w:rPr>
        <w:t xml:space="preserve">Council can expect to receive from </w:t>
      </w:r>
      <w:r w:rsidR="00C4517D">
        <w:rPr>
          <w:rFonts w:eastAsia="Times New Roman" w:cs="Arial"/>
          <w:lang w:eastAsia="en-GB"/>
        </w:rPr>
        <w:t>C</w:t>
      </w:r>
      <w:r w:rsidR="000F0E5F">
        <w:rPr>
          <w:rFonts w:eastAsia="Times New Roman" w:cs="Arial"/>
          <w:lang w:eastAsia="en-GB"/>
        </w:rPr>
        <w:t xml:space="preserve">entral </w:t>
      </w:r>
      <w:r w:rsidR="00C4517D">
        <w:rPr>
          <w:rFonts w:eastAsia="Times New Roman" w:cs="Arial"/>
          <w:lang w:eastAsia="en-GB"/>
        </w:rPr>
        <w:t>G</w:t>
      </w:r>
      <w:r>
        <w:rPr>
          <w:rFonts w:eastAsia="Times New Roman" w:cs="Arial"/>
          <w:lang w:eastAsia="en-GB"/>
        </w:rPr>
        <w:t>overnment.</w:t>
      </w:r>
    </w:p>
    <w:p w:rsidR="00932C3B" w:rsidRPr="00B73C02" w:rsidRDefault="00932C3B" w:rsidP="00B73C02">
      <w:pPr>
        <w:tabs>
          <w:tab w:val="left" w:pos="567"/>
          <w:tab w:val="left" w:pos="1134"/>
        </w:tabs>
        <w:spacing w:after="0"/>
        <w:rPr>
          <w:rFonts w:cs="Arial"/>
          <w:b/>
        </w:rPr>
      </w:pPr>
    </w:p>
    <w:p w:rsidR="00932C3B" w:rsidRPr="00B73C02" w:rsidRDefault="00B73C02" w:rsidP="00B73C02">
      <w:pPr>
        <w:pStyle w:val="ListParagraph"/>
        <w:numPr>
          <w:ilvl w:val="0"/>
          <w:numId w:val="38"/>
        </w:numPr>
        <w:tabs>
          <w:tab w:val="left" w:pos="567"/>
          <w:tab w:val="left" w:pos="1134"/>
        </w:tabs>
        <w:spacing w:after="0"/>
        <w:ind w:hanging="720"/>
        <w:rPr>
          <w:rFonts w:cs="Arial"/>
          <w:b/>
        </w:rPr>
      </w:pPr>
      <w:r w:rsidRPr="00B73C02">
        <w:rPr>
          <w:rFonts w:cs="Arial"/>
          <w:b/>
        </w:rPr>
        <w:t>Resources Available</w:t>
      </w:r>
    </w:p>
    <w:p w:rsidR="00B73C02" w:rsidRPr="00B73C02" w:rsidRDefault="00B73C02" w:rsidP="00B73C02">
      <w:pPr>
        <w:pStyle w:val="ListParagraph"/>
        <w:tabs>
          <w:tab w:val="left" w:pos="567"/>
          <w:tab w:val="left" w:pos="1134"/>
        </w:tabs>
        <w:spacing w:after="0"/>
        <w:ind w:left="360"/>
        <w:rPr>
          <w:rFonts w:cs="Arial"/>
        </w:rPr>
      </w:pPr>
    </w:p>
    <w:p w:rsidR="00932C3B" w:rsidRDefault="00B73C02" w:rsidP="003D58F1">
      <w:pPr>
        <w:tabs>
          <w:tab w:val="left" w:pos="567"/>
          <w:tab w:val="left" w:pos="1134"/>
        </w:tabs>
        <w:spacing w:after="0"/>
        <w:rPr>
          <w:rFonts w:cs="Arial"/>
          <w:b/>
        </w:rPr>
      </w:pPr>
      <w:r>
        <w:rPr>
          <w:rFonts w:cs="Arial"/>
          <w:b/>
        </w:rPr>
        <w:t>3.1</w:t>
      </w:r>
      <w:r w:rsidR="00522DCF">
        <w:rPr>
          <w:rFonts w:cs="Arial"/>
          <w:b/>
        </w:rPr>
        <w:tab/>
      </w:r>
      <w:r w:rsidR="00932C3B" w:rsidRPr="0043096A">
        <w:rPr>
          <w:rFonts w:cs="Arial"/>
          <w:b/>
        </w:rPr>
        <w:t>Resources from Central Government</w:t>
      </w:r>
    </w:p>
    <w:p w:rsidR="003D58F1" w:rsidRPr="0043096A" w:rsidRDefault="003D58F1" w:rsidP="003D58F1">
      <w:pPr>
        <w:tabs>
          <w:tab w:val="left" w:pos="567"/>
          <w:tab w:val="left" w:pos="1134"/>
        </w:tabs>
        <w:spacing w:after="0"/>
        <w:rPr>
          <w:rFonts w:cs="Arial"/>
          <w:b/>
        </w:rPr>
      </w:pPr>
    </w:p>
    <w:p w:rsidR="003D58F1" w:rsidRDefault="00932C3B" w:rsidP="003D58F1">
      <w:pPr>
        <w:tabs>
          <w:tab w:val="left" w:pos="567"/>
          <w:tab w:val="left" w:pos="1134"/>
        </w:tabs>
        <w:spacing w:after="0"/>
        <w:rPr>
          <w:rFonts w:cs="Arial"/>
        </w:rPr>
      </w:pPr>
      <w:r w:rsidRPr="0043096A">
        <w:rPr>
          <w:rFonts w:cs="Arial"/>
        </w:rPr>
        <w:t xml:space="preserve">The </w:t>
      </w:r>
      <w:r w:rsidR="003B634F">
        <w:rPr>
          <w:rFonts w:cs="Arial"/>
        </w:rPr>
        <w:t>County Council receives a share of the total DEL for Local Government based upon a formula used by the Department for Communities and Local Government as part of the Local Government Spending Review.</w:t>
      </w:r>
      <w:r w:rsidR="003D3C68">
        <w:rPr>
          <w:rFonts w:cs="Arial"/>
        </w:rPr>
        <w:t xml:space="preserve"> </w:t>
      </w:r>
      <w:r w:rsidR="00903111">
        <w:rPr>
          <w:rFonts w:cs="Arial"/>
        </w:rPr>
        <w:t xml:space="preserve"> </w:t>
      </w:r>
      <w:r w:rsidR="003B634F">
        <w:rPr>
          <w:rFonts w:cs="Arial"/>
        </w:rPr>
        <w:t>In recent years the amount received has been calculated in a straightforward manner where</w:t>
      </w:r>
      <w:r w:rsidR="008A1F5D">
        <w:rPr>
          <w:rFonts w:cs="Arial"/>
        </w:rPr>
        <w:t>by</w:t>
      </w:r>
      <w:r w:rsidR="003B634F">
        <w:rPr>
          <w:rFonts w:cs="Arial"/>
        </w:rPr>
        <w:t xml:space="preserve"> each authority's allocation is reduced by the amount that the total DEL is reduced.</w:t>
      </w:r>
    </w:p>
    <w:p w:rsidR="003D58F1" w:rsidRDefault="003D58F1" w:rsidP="003D58F1">
      <w:pPr>
        <w:tabs>
          <w:tab w:val="left" w:pos="567"/>
          <w:tab w:val="left" w:pos="1134"/>
        </w:tabs>
        <w:spacing w:after="0"/>
        <w:rPr>
          <w:rFonts w:cs="Arial"/>
        </w:rPr>
      </w:pPr>
    </w:p>
    <w:p w:rsidR="00291D41" w:rsidRDefault="003B634F" w:rsidP="003D58F1">
      <w:pPr>
        <w:tabs>
          <w:tab w:val="left" w:pos="567"/>
          <w:tab w:val="left" w:pos="1134"/>
        </w:tabs>
        <w:spacing w:after="0"/>
        <w:rPr>
          <w:rFonts w:cs="Arial"/>
        </w:rPr>
      </w:pPr>
      <w:r>
        <w:rPr>
          <w:rFonts w:cs="Arial"/>
        </w:rPr>
        <w:t>Information published with the budget</w:t>
      </w:r>
      <w:r w:rsidR="00E61F8F">
        <w:rPr>
          <w:rFonts w:cs="Arial"/>
        </w:rPr>
        <w:t xml:space="preserve"> report on the 8th</w:t>
      </w:r>
      <w:r w:rsidR="00C05A82">
        <w:rPr>
          <w:rFonts w:cs="Arial"/>
        </w:rPr>
        <w:t xml:space="preserve"> July</w:t>
      </w:r>
      <w:r w:rsidR="00C4517D">
        <w:rPr>
          <w:rFonts w:cs="Arial"/>
        </w:rPr>
        <w:t xml:space="preserve"> 2015</w:t>
      </w:r>
      <w:r>
        <w:rPr>
          <w:rFonts w:cs="Arial"/>
        </w:rPr>
        <w:t xml:space="preserve"> in respect of future years' total DEL has been analysed and shows the following:</w:t>
      </w:r>
    </w:p>
    <w:p w:rsidR="00932C3B" w:rsidRPr="0043096A" w:rsidRDefault="00932C3B" w:rsidP="003D58F1">
      <w:pPr>
        <w:tabs>
          <w:tab w:val="left" w:pos="567"/>
          <w:tab w:val="left" w:pos="1134"/>
        </w:tabs>
        <w:spacing w:after="0"/>
        <w:rPr>
          <w:rFonts w:cs="Arial"/>
          <w:lang w:val="en"/>
        </w:rPr>
      </w:pPr>
    </w:p>
    <w:tbl>
      <w:tblPr>
        <w:tblStyle w:val="TableGrid"/>
        <w:tblW w:w="0" w:type="auto"/>
        <w:tblLook w:val="04A0" w:firstRow="1" w:lastRow="0" w:firstColumn="1" w:lastColumn="0" w:noHBand="0" w:noVBand="1"/>
      </w:tblPr>
      <w:tblGrid>
        <w:gridCol w:w="3005"/>
        <w:gridCol w:w="3005"/>
        <w:gridCol w:w="3006"/>
      </w:tblGrid>
      <w:tr w:rsidR="00932C3B" w:rsidRPr="0043096A" w:rsidTr="002A03A8">
        <w:tc>
          <w:tcPr>
            <w:tcW w:w="3005" w:type="dxa"/>
            <w:shd w:val="clear" w:color="auto" w:fill="D9D9D9" w:themeFill="background1" w:themeFillShade="D9"/>
            <w:vAlign w:val="center"/>
          </w:tcPr>
          <w:p w:rsidR="00932C3B" w:rsidRPr="0043096A" w:rsidRDefault="00932C3B" w:rsidP="003D58F1">
            <w:pPr>
              <w:tabs>
                <w:tab w:val="left" w:pos="567"/>
                <w:tab w:val="left" w:pos="1134"/>
              </w:tabs>
              <w:spacing w:after="0"/>
              <w:jc w:val="center"/>
              <w:rPr>
                <w:rFonts w:cs="Arial"/>
                <w:b/>
                <w:lang w:val="en"/>
              </w:rPr>
            </w:pPr>
            <w:r w:rsidRPr="0043096A">
              <w:rPr>
                <w:rFonts w:cs="Arial"/>
                <w:b/>
                <w:lang w:val="en"/>
              </w:rPr>
              <w:t>Year</w:t>
            </w:r>
          </w:p>
        </w:tc>
        <w:tc>
          <w:tcPr>
            <w:tcW w:w="3005" w:type="dxa"/>
            <w:shd w:val="clear" w:color="auto" w:fill="D9D9D9" w:themeFill="background1" w:themeFillShade="D9"/>
            <w:vAlign w:val="center"/>
          </w:tcPr>
          <w:p w:rsidR="003B634F" w:rsidRDefault="003B634F" w:rsidP="003D58F1">
            <w:pPr>
              <w:tabs>
                <w:tab w:val="left" w:pos="567"/>
                <w:tab w:val="left" w:pos="1134"/>
              </w:tabs>
              <w:spacing w:after="0"/>
              <w:jc w:val="center"/>
              <w:rPr>
                <w:rFonts w:cs="Arial"/>
                <w:b/>
                <w:lang w:val="en"/>
              </w:rPr>
            </w:pPr>
            <w:r>
              <w:rPr>
                <w:rFonts w:cs="Arial"/>
                <w:b/>
                <w:lang w:val="en"/>
              </w:rPr>
              <w:t>Total DEL</w:t>
            </w:r>
          </w:p>
          <w:p w:rsidR="009A2CC4" w:rsidRDefault="009A2CC4" w:rsidP="003D58F1">
            <w:pPr>
              <w:tabs>
                <w:tab w:val="left" w:pos="567"/>
                <w:tab w:val="left" w:pos="1134"/>
              </w:tabs>
              <w:spacing w:after="0"/>
              <w:jc w:val="center"/>
              <w:rPr>
                <w:rFonts w:cs="Arial"/>
                <w:b/>
                <w:lang w:val="en"/>
              </w:rPr>
            </w:pPr>
            <w:r>
              <w:rPr>
                <w:rFonts w:cs="Arial"/>
                <w:b/>
                <w:lang w:val="en"/>
              </w:rPr>
              <w:t>(all departments)</w:t>
            </w:r>
          </w:p>
          <w:p w:rsidR="00932C3B" w:rsidRPr="0043096A" w:rsidRDefault="00932C3B" w:rsidP="003D58F1">
            <w:pPr>
              <w:tabs>
                <w:tab w:val="left" w:pos="567"/>
                <w:tab w:val="left" w:pos="1134"/>
              </w:tabs>
              <w:spacing w:after="0"/>
              <w:jc w:val="center"/>
              <w:rPr>
                <w:rFonts w:cs="Arial"/>
                <w:b/>
                <w:lang w:val="en"/>
              </w:rPr>
            </w:pPr>
            <w:r>
              <w:rPr>
                <w:rFonts w:cs="Arial"/>
                <w:b/>
                <w:lang w:val="en"/>
              </w:rPr>
              <w:t>£m</w:t>
            </w:r>
          </w:p>
        </w:tc>
        <w:tc>
          <w:tcPr>
            <w:tcW w:w="3006" w:type="dxa"/>
            <w:shd w:val="clear" w:color="auto" w:fill="D9D9D9" w:themeFill="background1" w:themeFillShade="D9"/>
            <w:vAlign w:val="center"/>
          </w:tcPr>
          <w:p w:rsidR="00932C3B" w:rsidRPr="0043096A" w:rsidRDefault="00932C3B" w:rsidP="003D58F1">
            <w:pPr>
              <w:tabs>
                <w:tab w:val="left" w:pos="567"/>
                <w:tab w:val="left" w:pos="1134"/>
              </w:tabs>
              <w:spacing w:after="0"/>
              <w:jc w:val="center"/>
              <w:rPr>
                <w:rFonts w:cs="Arial"/>
                <w:b/>
                <w:lang w:val="en"/>
              </w:rPr>
            </w:pPr>
            <w:r w:rsidRPr="0043096A">
              <w:rPr>
                <w:rFonts w:cs="Arial"/>
                <w:b/>
                <w:lang w:val="en"/>
              </w:rPr>
              <w:t>% change</w:t>
            </w:r>
          </w:p>
        </w:tc>
      </w:tr>
      <w:tr w:rsidR="00932C3B" w:rsidRPr="0043096A" w:rsidTr="00291D41">
        <w:tc>
          <w:tcPr>
            <w:tcW w:w="3005" w:type="dxa"/>
            <w:vAlign w:val="center"/>
          </w:tcPr>
          <w:p w:rsidR="00932C3B" w:rsidRPr="0043096A" w:rsidRDefault="00932C3B" w:rsidP="003D58F1">
            <w:pPr>
              <w:tabs>
                <w:tab w:val="left" w:pos="567"/>
                <w:tab w:val="left" w:pos="1134"/>
              </w:tabs>
              <w:spacing w:after="0"/>
              <w:jc w:val="center"/>
              <w:rPr>
                <w:rFonts w:cs="Arial"/>
                <w:lang w:val="en"/>
              </w:rPr>
            </w:pPr>
            <w:r w:rsidRPr="0043096A">
              <w:rPr>
                <w:rFonts w:cs="Arial"/>
                <w:lang w:val="en"/>
              </w:rPr>
              <w:t>2015/16</w:t>
            </w:r>
          </w:p>
        </w:tc>
        <w:tc>
          <w:tcPr>
            <w:tcW w:w="3005" w:type="dxa"/>
            <w:vAlign w:val="center"/>
          </w:tcPr>
          <w:p w:rsidR="00932C3B" w:rsidRPr="0043096A" w:rsidRDefault="00932C3B" w:rsidP="003D58F1">
            <w:pPr>
              <w:tabs>
                <w:tab w:val="left" w:pos="567"/>
                <w:tab w:val="left" w:pos="1134"/>
              </w:tabs>
              <w:spacing w:after="0"/>
              <w:jc w:val="center"/>
              <w:rPr>
                <w:rFonts w:cs="Arial"/>
                <w:lang w:val="en"/>
              </w:rPr>
            </w:pPr>
            <w:r w:rsidRPr="0043096A">
              <w:rPr>
                <w:rFonts w:cs="Arial"/>
                <w:lang w:val="en"/>
              </w:rPr>
              <w:t>337.4</w:t>
            </w:r>
          </w:p>
        </w:tc>
        <w:tc>
          <w:tcPr>
            <w:tcW w:w="3006" w:type="dxa"/>
            <w:vAlign w:val="center"/>
          </w:tcPr>
          <w:p w:rsidR="00932C3B" w:rsidRPr="0043096A" w:rsidRDefault="00932C3B" w:rsidP="003D58F1">
            <w:pPr>
              <w:tabs>
                <w:tab w:val="left" w:pos="567"/>
                <w:tab w:val="left" w:pos="1134"/>
              </w:tabs>
              <w:spacing w:after="0"/>
              <w:jc w:val="center"/>
              <w:rPr>
                <w:rFonts w:cs="Arial"/>
                <w:lang w:val="en"/>
              </w:rPr>
            </w:pPr>
            <w:r w:rsidRPr="0043096A">
              <w:rPr>
                <w:rFonts w:cs="Arial"/>
                <w:lang w:val="en"/>
              </w:rPr>
              <w:t>-</w:t>
            </w:r>
          </w:p>
        </w:tc>
      </w:tr>
      <w:tr w:rsidR="00932C3B" w:rsidRPr="0043096A" w:rsidTr="00291D41">
        <w:tc>
          <w:tcPr>
            <w:tcW w:w="3005" w:type="dxa"/>
            <w:vAlign w:val="center"/>
          </w:tcPr>
          <w:p w:rsidR="00932C3B" w:rsidRPr="0043096A" w:rsidRDefault="00932C3B" w:rsidP="003D58F1">
            <w:pPr>
              <w:tabs>
                <w:tab w:val="left" w:pos="567"/>
                <w:tab w:val="left" w:pos="1134"/>
              </w:tabs>
              <w:spacing w:after="0"/>
              <w:jc w:val="center"/>
              <w:rPr>
                <w:rFonts w:cs="Arial"/>
                <w:lang w:val="en"/>
              </w:rPr>
            </w:pPr>
            <w:r w:rsidRPr="0043096A">
              <w:rPr>
                <w:rFonts w:cs="Arial"/>
                <w:lang w:val="en"/>
              </w:rPr>
              <w:t>2016/17</w:t>
            </w:r>
          </w:p>
        </w:tc>
        <w:tc>
          <w:tcPr>
            <w:tcW w:w="3005" w:type="dxa"/>
            <w:vAlign w:val="center"/>
          </w:tcPr>
          <w:p w:rsidR="00932C3B" w:rsidRPr="0043096A" w:rsidRDefault="00932C3B" w:rsidP="003D58F1">
            <w:pPr>
              <w:tabs>
                <w:tab w:val="left" w:pos="567"/>
                <w:tab w:val="left" w:pos="1134"/>
              </w:tabs>
              <w:spacing w:after="0"/>
              <w:jc w:val="center"/>
              <w:rPr>
                <w:rFonts w:cs="Arial"/>
                <w:lang w:val="en"/>
              </w:rPr>
            </w:pPr>
            <w:r w:rsidRPr="0043096A">
              <w:rPr>
                <w:rFonts w:cs="Arial"/>
                <w:lang w:val="en"/>
              </w:rPr>
              <w:t>341.4</w:t>
            </w:r>
          </w:p>
        </w:tc>
        <w:tc>
          <w:tcPr>
            <w:tcW w:w="3006" w:type="dxa"/>
            <w:vAlign w:val="center"/>
          </w:tcPr>
          <w:p w:rsidR="00932C3B" w:rsidRPr="0043096A" w:rsidRDefault="00932C3B" w:rsidP="003D58F1">
            <w:pPr>
              <w:tabs>
                <w:tab w:val="left" w:pos="567"/>
                <w:tab w:val="left" w:pos="1134"/>
              </w:tabs>
              <w:spacing w:after="0"/>
              <w:jc w:val="center"/>
              <w:rPr>
                <w:rFonts w:cs="Arial"/>
                <w:lang w:val="en"/>
              </w:rPr>
            </w:pPr>
            <w:r w:rsidRPr="0043096A">
              <w:rPr>
                <w:rFonts w:cs="Arial"/>
                <w:lang w:val="en"/>
              </w:rPr>
              <w:t>1.19</w:t>
            </w:r>
          </w:p>
        </w:tc>
      </w:tr>
      <w:tr w:rsidR="00932C3B" w:rsidRPr="0043096A" w:rsidTr="00291D41">
        <w:tc>
          <w:tcPr>
            <w:tcW w:w="3005" w:type="dxa"/>
            <w:vAlign w:val="center"/>
          </w:tcPr>
          <w:p w:rsidR="00932C3B" w:rsidRPr="0043096A" w:rsidRDefault="00932C3B" w:rsidP="003D58F1">
            <w:pPr>
              <w:tabs>
                <w:tab w:val="left" w:pos="567"/>
                <w:tab w:val="left" w:pos="1134"/>
              </w:tabs>
              <w:spacing w:after="0"/>
              <w:jc w:val="center"/>
              <w:rPr>
                <w:rFonts w:cs="Arial"/>
                <w:lang w:val="en"/>
              </w:rPr>
            </w:pPr>
            <w:r w:rsidRPr="0043096A">
              <w:rPr>
                <w:rFonts w:cs="Arial"/>
                <w:lang w:val="en"/>
              </w:rPr>
              <w:t>2017/18</w:t>
            </w:r>
          </w:p>
        </w:tc>
        <w:tc>
          <w:tcPr>
            <w:tcW w:w="3005" w:type="dxa"/>
            <w:vAlign w:val="center"/>
          </w:tcPr>
          <w:p w:rsidR="00932C3B" w:rsidRPr="0043096A" w:rsidRDefault="00932C3B" w:rsidP="003D58F1">
            <w:pPr>
              <w:tabs>
                <w:tab w:val="left" w:pos="567"/>
                <w:tab w:val="left" w:pos="1134"/>
              </w:tabs>
              <w:spacing w:after="0"/>
              <w:jc w:val="center"/>
              <w:rPr>
                <w:rFonts w:cs="Arial"/>
                <w:lang w:val="en"/>
              </w:rPr>
            </w:pPr>
            <w:r w:rsidRPr="0043096A">
              <w:rPr>
                <w:rFonts w:cs="Arial"/>
                <w:lang w:val="en"/>
              </w:rPr>
              <w:t>339.7</w:t>
            </w:r>
          </w:p>
        </w:tc>
        <w:tc>
          <w:tcPr>
            <w:tcW w:w="3006" w:type="dxa"/>
            <w:vAlign w:val="center"/>
          </w:tcPr>
          <w:p w:rsidR="00932C3B" w:rsidRPr="0043096A" w:rsidRDefault="00932C3B" w:rsidP="003D58F1">
            <w:pPr>
              <w:tabs>
                <w:tab w:val="left" w:pos="567"/>
                <w:tab w:val="left" w:pos="1134"/>
              </w:tabs>
              <w:spacing w:after="0"/>
              <w:jc w:val="center"/>
              <w:rPr>
                <w:rFonts w:cs="Arial"/>
                <w:lang w:val="en"/>
              </w:rPr>
            </w:pPr>
            <w:r w:rsidRPr="0043096A">
              <w:rPr>
                <w:rFonts w:cs="Arial"/>
                <w:lang w:val="en"/>
              </w:rPr>
              <w:t>-0.50</w:t>
            </w:r>
          </w:p>
        </w:tc>
      </w:tr>
      <w:tr w:rsidR="00932C3B" w:rsidRPr="0043096A" w:rsidTr="00291D41">
        <w:tc>
          <w:tcPr>
            <w:tcW w:w="3005" w:type="dxa"/>
            <w:vAlign w:val="center"/>
          </w:tcPr>
          <w:p w:rsidR="00932C3B" w:rsidRPr="0043096A" w:rsidRDefault="00932C3B" w:rsidP="003D58F1">
            <w:pPr>
              <w:tabs>
                <w:tab w:val="left" w:pos="567"/>
                <w:tab w:val="left" w:pos="1134"/>
              </w:tabs>
              <w:spacing w:after="0"/>
              <w:jc w:val="center"/>
              <w:rPr>
                <w:rFonts w:cs="Arial"/>
                <w:lang w:val="en"/>
              </w:rPr>
            </w:pPr>
            <w:r w:rsidRPr="0043096A">
              <w:rPr>
                <w:rFonts w:cs="Arial"/>
                <w:lang w:val="en"/>
              </w:rPr>
              <w:t>2018/19</w:t>
            </w:r>
          </w:p>
        </w:tc>
        <w:tc>
          <w:tcPr>
            <w:tcW w:w="3005" w:type="dxa"/>
            <w:vAlign w:val="center"/>
          </w:tcPr>
          <w:p w:rsidR="00932C3B" w:rsidRPr="0043096A" w:rsidRDefault="00932C3B" w:rsidP="003D58F1">
            <w:pPr>
              <w:tabs>
                <w:tab w:val="left" w:pos="567"/>
                <w:tab w:val="left" w:pos="1134"/>
              </w:tabs>
              <w:spacing w:after="0"/>
              <w:jc w:val="center"/>
              <w:rPr>
                <w:rFonts w:cs="Arial"/>
                <w:lang w:val="en"/>
              </w:rPr>
            </w:pPr>
            <w:r w:rsidRPr="0043096A">
              <w:rPr>
                <w:rFonts w:cs="Arial"/>
                <w:lang w:val="en"/>
              </w:rPr>
              <w:t>339.7</w:t>
            </w:r>
          </w:p>
        </w:tc>
        <w:tc>
          <w:tcPr>
            <w:tcW w:w="3006" w:type="dxa"/>
            <w:vAlign w:val="center"/>
          </w:tcPr>
          <w:p w:rsidR="00932C3B" w:rsidRPr="0043096A" w:rsidRDefault="00932C3B" w:rsidP="003D58F1">
            <w:pPr>
              <w:tabs>
                <w:tab w:val="left" w:pos="567"/>
                <w:tab w:val="left" w:pos="1134"/>
              </w:tabs>
              <w:spacing w:after="0"/>
              <w:jc w:val="center"/>
              <w:rPr>
                <w:rFonts w:cs="Arial"/>
                <w:lang w:val="en"/>
              </w:rPr>
            </w:pPr>
            <w:r w:rsidRPr="0043096A">
              <w:rPr>
                <w:rFonts w:cs="Arial"/>
                <w:lang w:val="en"/>
              </w:rPr>
              <w:t>0.00</w:t>
            </w:r>
          </w:p>
        </w:tc>
      </w:tr>
      <w:tr w:rsidR="00932C3B" w:rsidRPr="0043096A" w:rsidTr="00291D41">
        <w:tc>
          <w:tcPr>
            <w:tcW w:w="3005" w:type="dxa"/>
            <w:vAlign w:val="center"/>
          </w:tcPr>
          <w:p w:rsidR="00932C3B" w:rsidRPr="0043096A" w:rsidRDefault="00932C3B" w:rsidP="003D58F1">
            <w:pPr>
              <w:tabs>
                <w:tab w:val="left" w:pos="567"/>
                <w:tab w:val="left" w:pos="1134"/>
              </w:tabs>
              <w:spacing w:after="0"/>
              <w:jc w:val="center"/>
              <w:rPr>
                <w:rFonts w:cs="Arial"/>
                <w:lang w:val="en"/>
              </w:rPr>
            </w:pPr>
            <w:r w:rsidRPr="0043096A">
              <w:rPr>
                <w:rFonts w:cs="Arial"/>
                <w:lang w:val="en"/>
              </w:rPr>
              <w:t>2019/20</w:t>
            </w:r>
          </w:p>
        </w:tc>
        <w:tc>
          <w:tcPr>
            <w:tcW w:w="3005" w:type="dxa"/>
            <w:vAlign w:val="center"/>
          </w:tcPr>
          <w:p w:rsidR="00932C3B" w:rsidRPr="0043096A" w:rsidRDefault="00932C3B" w:rsidP="003D58F1">
            <w:pPr>
              <w:tabs>
                <w:tab w:val="left" w:pos="567"/>
                <w:tab w:val="left" w:pos="1134"/>
              </w:tabs>
              <w:spacing w:after="0"/>
              <w:jc w:val="center"/>
              <w:rPr>
                <w:rFonts w:cs="Arial"/>
                <w:lang w:val="en"/>
              </w:rPr>
            </w:pPr>
            <w:r w:rsidRPr="0043096A">
              <w:rPr>
                <w:rFonts w:cs="Arial"/>
                <w:lang w:val="en"/>
              </w:rPr>
              <w:t>344.3</w:t>
            </w:r>
          </w:p>
        </w:tc>
        <w:tc>
          <w:tcPr>
            <w:tcW w:w="3006" w:type="dxa"/>
            <w:vAlign w:val="center"/>
          </w:tcPr>
          <w:p w:rsidR="00932C3B" w:rsidRPr="0043096A" w:rsidRDefault="00932C3B" w:rsidP="003D58F1">
            <w:pPr>
              <w:tabs>
                <w:tab w:val="left" w:pos="567"/>
                <w:tab w:val="left" w:pos="1134"/>
              </w:tabs>
              <w:spacing w:after="0"/>
              <w:jc w:val="center"/>
              <w:rPr>
                <w:rFonts w:cs="Arial"/>
                <w:lang w:val="en"/>
              </w:rPr>
            </w:pPr>
            <w:r w:rsidRPr="0043096A">
              <w:rPr>
                <w:rFonts w:cs="Arial"/>
                <w:lang w:val="en"/>
              </w:rPr>
              <w:t>1.35</w:t>
            </w:r>
          </w:p>
        </w:tc>
      </w:tr>
      <w:tr w:rsidR="00932C3B" w:rsidRPr="0043096A" w:rsidTr="00291D41">
        <w:tc>
          <w:tcPr>
            <w:tcW w:w="3005" w:type="dxa"/>
            <w:vAlign w:val="center"/>
          </w:tcPr>
          <w:p w:rsidR="00932C3B" w:rsidRPr="0043096A" w:rsidRDefault="00932C3B" w:rsidP="003D58F1">
            <w:pPr>
              <w:tabs>
                <w:tab w:val="left" w:pos="567"/>
                <w:tab w:val="left" w:pos="1134"/>
              </w:tabs>
              <w:spacing w:after="0"/>
              <w:jc w:val="center"/>
              <w:rPr>
                <w:rFonts w:cs="Arial"/>
                <w:lang w:val="en"/>
              </w:rPr>
            </w:pPr>
            <w:r w:rsidRPr="0043096A">
              <w:rPr>
                <w:rFonts w:cs="Arial"/>
                <w:lang w:val="en"/>
              </w:rPr>
              <w:t>2020/21</w:t>
            </w:r>
          </w:p>
        </w:tc>
        <w:tc>
          <w:tcPr>
            <w:tcW w:w="3005" w:type="dxa"/>
            <w:vAlign w:val="center"/>
          </w:tcPr>
          <w:p w:rsidR="00932C3B" w:rsidRPr="0043096A" w:rsidRDefault="00932C3B" w:rsidP="003D58F1">
            <w:pPr>
              <w:tabs>
                <w:tab w:val="left" w:pos="567"/>
                <w:tab w:val="left" w:pos="1134"/>
              </w:tabs>
              <w:spacing w:after="0"/>
              <w:jc w:val="center"/>
              <w:rPr>
                <w:rFonts w:cs="Arial"/>
                <w:lang w:val="en"/>
              </w:rPr>
            </w:pPr>
            <w:r w:rsidRPr="0043096A">
              <w:rPr>
                <w:rFonts w:cs="Arial"/>
                <w:lang w:val="en"/>
              </w:rPr>
              <w:t>369.6</w:t>
            </w:r>
          </w:p>
        </w:tc>
        <w:tc>
          <w:tcPr>
            <w:tcW w:w="3006" w:type="dxa"/>
            <w:vAlign w:val="center"/>
          </w:tcPr>
          <w:p w:rsidR="00932C3B" w:rsidRPr="0043096A" w:rsidRDefault="00932C3B" w:rsidP="003D58F1">
            <w:pPr>
              <w:tabs>
                <w:tab w:val="left" w:pos="567"/>
                <w:tab w:val="left" w:pos="1134"/>
              </w:tabs>
              <w:spacing w:after="0"/>
              <w:jc w:val="center"/>
              <w:rPr>
                <w:rFonts w:cs="Arial"/>
                <w:lang w:val="en"/>
              </w:rPr>
            </w:pPr>
            <w:r w:rsidRPr="0043096A">
              <w:rPr>
                <w:rFonts w:cs="Arial"/>
                <w:lang w:val="en"/>
              </w:rPr>
              <w:t>7.35</w:t>
            </w:r>
          </w:p>
        </w:tc>
      </w:tr>
    </w:tbl>
    <w:p w:rsidR="00932C3B" w:rsidRPr="0043096A" w:rsidRDefault="00932C3B" w:rsidP="003D58F1">
      <w:pPr>
        <w:tabs>
          <w:tab w:val="left" w:pos="567"/>
          <w:tab w:val="left" w:pos="1134"/>
        </w:tabs>
        <w:spacing w:after="0"/>
        <w:rPr>
          <w:rFonts w:cs="Arial"/>
          <w:lang w:val="en"/>
        </w:rPr>
      </w:pPr>
    </w:p>
    <w:p w:rsidR="00932C3B" w:rsidRPr="00E61F8F" w:rsidRDefault="003B634F" w:rsidP="003D58F1">
      <w:pPr>
        <w:tabs>
          <w:tab w:val="left" w:pos="567"/>
          <w:tab w:val="left" w:pos="1134"/>
        </w:tabs>
        <w:spacing w:after="0"/>
        <w:rPr>
          <w:rFonts w:cs="Arial"/>
          <w:b/>
        </w:rPr>
      </w:pPr>
      <w:r>
        <w:rPr>
          <w:rFonts w:cs="Arial"/>
        </w:rPr>
        <w:t>The reduction to total DEL</w:t>
      </w:r>
      <w:r w:rsidR="00932C3B" w:rsidRPr="0043096A">
        <w:rPr>
          <w:rFonts w:cs="Arial"/>
        </w:rPr>
        <w:t xml:space="preserve"> will not be </w:t>
      </w:r>
      <w:r>
        <w:rPr>
          <w:rFonts w:cs="Arial"/>
        </w:rPr>
        <w:t xml:space="preserve">applied </w:t>
      </w:r>
      <w:r w:rsidR="00932C3B" w:rsidRPr="0043096A">
        <w:rPr>
          <w:rFonts w:cs="Arial"/>
        </w:rPr>
        <w:t>even</w:t>
      </w:r>
      <w:r>
        <w:rPr>
          <w:rFonts w:cs="Arial"/>
        </w:rPr>
        <w:t>ly</w:t>
      </w:r>
      <w:r w:rsidR="00932C3B" w:rsidRPr="0043096A">
        <w:rPr>
          <w:rFonts w:cs="Arial"/>
        </w:rPr>
        <w:t xml:space="preserve"> across the Departments as some have a 'protected' status.</w:t>
      </w:r>
      <w:r w:rsidR="00932C3B">
        <w:rPr>
          <w:rFonts w:cs="Arial"/>
        </w:rPr>
        <w:t xml:space="preserve"> </w:t>
      </w:r>
      <w:r w:rsidR="00932C3B" w:rsidRPr="0043096A">
        <w:rPr>
          <w:rFonts w:cs="Arial"/>
        </w:rPr>
        <w:t xml:space="preserve"> </w:t>
      </w:r>
      <w:r w:rsidR="00932C3B" w:rsidRPr="00E61F8F">
        <w:rPr>
          <w:rFonts w:cs="Arial"/>
          <w:b/>
        </w:rPr>
        <w:t>Given the</w:t>
      </w:r>
      <w:r w:rsidR="009A2CC4">
        <w:rPr>
          <w:rFonts w:cs="Arial"/>
          <w:b/>
        </w:rPr>
        <w:t xml:space="preserve"> protected status of NHS, Education, International Aid and Defence, </w:t>
      </w:r>
      <w:r w:rsidRPr="00E61F8F">
        <w:rPr>
          <w:rFonts w:cs="Arial"/>
          <w:b/>
        </w:rPr>
        <w:t>Non-protected services, including</w:t>
      </w:r>
      <w:r w:rsidR="00932C3B" w:rsidRPr="00E61F8F">
        <w:rPr>
          <w:rFonts w:cs="Arial"/>
          <w:b/>
        </w:rPr>
        <w:t xml:space="preserve"> Local Authorities</w:t>
      </w:r>
      <w:r w:rsidRPr="00E61F8F">
        <w:rPr>
          <w:rFonts w:cs="Arial"/>
          <w:b/>
        </w:rPr>
        <w:t>,</w:t>
      </w:r>
      <w:r w:rsidR="00932C3B" w:rsidRPr="00E61F8F">
        <w:rPr>
          <w:rFonts w:cs="Arial"/>
          <w:b/>
        </w:rPr>
        <w:t xml:space="preserve"> will face a significant reduction in resources.</w:t>
      </w:r>
    </w:p>
    <w:p w:rsidR="00932C3B" w:rsidRDefault="00932C3B" w:rsidP="003D58F1">
      <w:pPr>
        <w:tabs>
          <w:tab w:val="left" w:pos="567"/>
          <w:tab w:val="left" w:pos="1134"/>
        </w:tabs>
        <w:spacing w:after="0"/>
        <w:rPr>
          <w:rFonts w:cs="Arial"/>
        </w:rPr>
      </w:pPr>
    </w:p>
    <w:p w:rsidR="00932C3B" w:rsidRDefault="00932C3B" w:rsidP="003D58F1">
      <w:pPr>
        <w:tabs>
          <w:tab w:val="left" w:pos="567"/>
          <w:tab w:val="left" w:pos="1134"/>
        </w:tabs>
        <w:spacing w:after="0"/>
        <w:rPr>
          <w:rFonts w:cs="Arial"/>
        </w:rPr>
      </w:pPr>
      <w:r w:rsidRPr="0043096A">
        <w:rPr>
          <w:rFonts w:cs="Arial"/>
        </w:rPr>
        <w:t xml:space="preserve">Based on the </w:t>
      </w:r>
      <w:r w:rsidR="009A2CC4">
        <w:rPr>
          <w:rFonts w:cs="Arial"/>
        </w:rPr>
        <w:t xml:space="preserve">latest </w:t>
      </w:r>
      <w:r w:rsidRPr="0043096A">
        <w:rPr>
          <w:rFonts w:cs="Arial"/>
        </w:rPr>
        <w:t xml:space="preserve">available information, a calculation on the </w:t>
      </w:r>
      <w:r w:rsidRPr="009A2CC4">
        <w:rPr>
          <w:rFonts w:cs="Arial"/>
          <w:b/>
        </w:rPr>
        <w:t>potential change in</w:t>
      </w:r>
      <w:r w:rsidR="003B634F" w:rsidRPr="009A2CC4">
        <w:rPr>
          <w:rFonts w:cs="Arial"/>
          <w:b/>
        </w:rPr>
        <w:t xml:space="preserve"> </w:t>
      </w:r>
      <w:r w:rsidR="0071029A" w:rsidRPr="009A2CC4">
        <w:rPr>
          <w:rFonts w:cs="Arial"/>
          <w:b/>
        </w:rPr>
        <w:br/>
      </w:r>
      <w:r w:rsidR="00C4517D">
        <w:rPr>
          <w:rFonts w:cs="Arial"/>
          <w:b/>
        </w:rPr>
        <w:t>n</w:t>
      </w:r>
      <w:r w:rsidR="003B634F" w:rsidRPr="009A2CC4">
        <w:rPr>
          <w:rFonts w:cs="Arial"/>
          <w:b/>
        </w:rPr>
        <w:t>on-protected services'</w:t>
      </w:r>
      <w:r w:rsidRPr="009A2CC4">
        <w:rPr>
          <w:rFonts w:cs="Arial"/>
          <w:b/>
        </w:rPr>
        <w:t xml:space="preserve"> resources</w:t>
      </w:r>
      <w:r w:rsidRPr="0043096A">
        <w:rPr>
          <w:rFonts w:cs="Arial"/>
        </w:rPr>
        <w:t xml:space="preserve"> over the parliament period shows a change of:</w:t>
      </w:r>
    </w:p>
    <w:p w:rsidR="00932C3B" w:rsidRPr="0043096A" w:rsidRDefault="00932C3B" w:rsidP="003D58F1">
      <w:pPr>
        <w:tabs>
          <w:tab w:val="left" w:pos="567"/>
          <w:tab w:val="left" w:pos="1134"/>
        </w:tabs>
        <w:spacing w:after="0"/>
        <w:rPr>
          <w:rFonts w:cs="Arial"/>
        </w:rPr>
      </w:pPr>
    </w:p>
    <w:tbl>
      <w:tblPr>
        <w:tblStyle w:val="TableGrid"/>
        <w:tblW w:w="9159" w:type="dxa"/>
        <w:tblLook w:val="04A0" w:firstRow="1" w:lastRow="0" w:firstColumn="1" w:lastColumn="0" w:noHBand="0" w:noVBand="1"/>
      </w:tblPr>
      <w:tblGrid>
        <w:gridCol w:w="3539"/>
        <w:gridCol w:w="1124"/>
        <w:gridCol w:w="1124"/>
        <w:gridCol w:w="1124"/>
        <w:gridCol w:w="1124"/>
        <w:gridCol w:w="1124"/>
      </w:tblGrid>
      <w:tr w:rsidR="00470902" w:rsidRPr="0043096A" w:rsidTr="002A03A8">
        <w:trPr>
          <w:trHeight w:val="308"/>
        </w:trPr>
        <w:tc>
          <w:tcPr>
            <w:tcW w:w="3539" w:type="dxa"/>
            <w:tcBorders>
              <w:bottom w:val="nil"/>
            </w:tcBorders>
            <w:shd w:val="clear" w:color="auto" w:fill="D9D9D9" w:themeFill="background1" w:themeFillShade="D9"/>
            <w:noWrap/>
          </w:tcPr>
          <w:p w:rsidR="00470902" w:rsidRPr="0043096A" w:rsidRDefault="00470902" w:rsidP="003D58F1">
            <w:pPr>
              <w:tabs>
                <w:tab w:val="left" w:pos="567"/>
                <w:tab w:val="left" w:pos="1134"/>
              </w:tabs>
              <w:spacing w:after="0"/>
              <w:rPr>
                <w:rFonts w:cs="Arial"/>
              </w:rPr>
            </w:pPr>
          </w:p>
        </w:tc>
        <w:tc>
          <w:tcPr>
            <w:tcW w:w="1124" w:type="dxa"/>
            <w:tcBorders>
              <w:bottom w:val="nil"/>
            </w:tcBorders>
            <w:shd w:val="clear" w:color="auto" w:fill="D9D9D9" w:themeFill="background1" w:themeFillShade="D9"/>
            <w:noWrap/>
            <w:vAlign w:val="center"/>
          </w:tcPr>
          <w:p w:rsidR="00470902" w:rsidRPr="0043096A" w:rsidRDefault="00470902" w:rsidP="003D58F1">
            <w:pPr>
              <w:tabs>
                <w:tab w:val="left" w:pos="567"/>
                <w:tab w:val="left" w:pos="1134"/>
              </w:tabs>
              <w:spacing w:after="0"/>
              <w:jc w:val="center"/>
              <w:rPr>
                <w:rFonts w:cs="Arial"/>
                <w:b/>
                <w:bCs/>
              </w:rPr>
            </w:pPr>
            <w:r w:rsidRPr="0043096A">
              <w:rPr>
                <w:rFonts w:cs="Arial"/>
                <w:b/>
                <w:bCs/>
              </w:rPr>
              <w:t>2015/16</w:t>
            </w:r>
          </w:p>
        </w:tc>
        <w:tc>
          <w:tcPr>
            <w:tcW w:w="1124" w:type="dxa"/>
            <w:tcBorders>
              <w:bottom w:val="nil"/>
            </w:tcBorders>
            <w:shd w:val="clear" w:color="auto" w:fill="D9D9D9" w:themeFill="background1" w:themeFillShade="D9"/>
            <w:noWrap/>
            <w:vAlign w:val="center"/>
          </w:tcPr>
          <w:p w:rsidR="00470902" w:rsidRPr="0043096A" w:rsidRDefault="00470902" w:rsidP="003D58F1">
            <w:pPr>
              <w:tabs>
                <w:tab w:val="left" w:pos="567"/>
                <w:tab w:val="left" w:pos="1134"/>
              </w:tabs>
              <w:spacing w:after="0"/>
              <w:jc w:val="center"/>
              <w:rPr>
                <w:rFonts w:cs="Arial"/>
                <w:b/>
                <w:bCs/>
              </w:rPr>
            </w:pPr>
            <w:r w:rsidRPr="0043096A">
              <w:rPr>
                <w:rFonts w:cs="Arial"/>
                <w:b/>
                <w:bCs/>
              </w:rPr>
              <w:t>2016/17</w:t>
            </w:r>
          </w:p>
        </w:tc>
        <w:tc>
          <w:tcPr>
            <w:tcW w:w="1124" w:type="dxa"/>
            <w:tcBorders>
              <w:bottom w:val="nil"/>
            </w:tcBorders>
            <w:shd w:val="clear" w:color="auto" w:fill="D9D9D9" w:themeFill="background1" w:themeFillShade="D9"/>
            <w:noWrap/>
            <w:vAlign w:val="center"/>
          </w:tcPr>
          <w:p w:rsidR="00470902" w:rsidRPr="0043096A" w:rsidRDefault="00470902" w:rsidP="003D58F1">
            <w:pPr>
              <w:tabs>
                <w:tab w:val="left" w:pos="567"/>
                <w:tab w:val="left" w:pos="1134"/>
              </w:tabs>
              <w:spacing w:after="0"/>
              <w:jc w:val="center"/>
              <w:rPr>
                <w:rFonts w:cs="Arial"/>
                <w:b/>
                <w:bCs/>
              </w:rPr>
            </w:pPr>
            <w:r w:rsidRPr="0043096A">
              <w:rPr>
                <w:rFonts w:cs="Arial"/>
                <w:b/>
                <w:bCs/>
              </w:rPr>
              <w:t>2017/18</w:t>
            </w:r>
          </w:p>
        </w:tc>
        <w:tc>
          <w:tcPr>
            <w:tcW w:w="1124" w:type="dxa"/>
            <w:tcBorders>
              <w:bottom w:val="nil"/>
            </w:tcBorders>
            <w:shd w:val="clear" w:color="auto" w:fill="D9D9D9" w:themeFill="background1" w:themeFillShade="D9"/>
            <w:noWrap/>
            <w:vAlign w:val="center"/>
          </w:tcPr>
          <w:p w:rsidR="00470902" w:rsidRPr="0043096A" w:rsidRDefault="00470902" w:rsidP="003D58F1">
            <w:pPr>
              <w:tabs>
                <w:tab w:val="left" w:pos="567"/>
                <w:tab w:val="left" w:pos="1134"/>
              </w:tabs>
              <w:spacing w:after="0"/>
              <w:jc w:val="center"/>
              <w:rPr>
                <w:rFonts w:cs="Arial"/>
                <w:b/>
                <w:bCs/>
              </w:rPr>
            </w:pPr>
            <w:r w:rsidRPr="0043096A">
              <w:rPr>
                <w:rFonts w:cs="Arial"/>
                <w:b/>
                <w:bCs/>
              </w:rPr>
              <w:t>2018/19</w:t>
            </w:r>
          </w:p>
        </w:tc>
        <w:tc>
          <w:tcPr>
            <w:tcW w:w="1124" w:type="dxa"/>
            <w:tcBorders>
              <w:bottom w:val="nil"/>
            </w:tcBorders>
            <w:shd w:val="clear" w:color="auto" w:fill="D9D9D9" w:themeFill="background1" w:themeFillShade="D9"/>
            <w:noWrap/>
            <w:vAlign w:val="center"/>
          </w:tcPr>
          <w:p w:rsidR="00470902" w:rsidRPr="0043096A" w:rsidRDefault="00470902" w:rsidP="003D58F1">
            <w:pPr>
              <w:tabs>
                <w:tab w:val="left" w:pos="567"/>
                <w:tab w:val="left" w:pos="1134"/>
              </w:tabs>
              <w:spacing w:after="0"/>
              <w:jc w:val="center"/>
              <w:rPr>
                <w:rFonts w:cs="Arial"/>
                <w:b/>
                <w:bCs/>
              </w:rPr>
            </w:pPr>
            <w:r w:rsidRPr="0043096A">
              <w:rPr>
                <w:rFonts w:cs="Arial"/>
                <w:b/>
                <w:bCs/>
              </w:rPr>
              <w:t>2019/20</w:t>
            </w:r>
          </w:p>
        </w:tc>
      </w:tr>
      <w:tr w:rsidR="00470902" w:rsidRPr="0043096A" w:rsidTr="002A03A8">
        <w:trPr>
          <w:trHeight w:val="308"/>
        </w:trPr>
        <w:tc>
          <w:tcPr>
            <w:tcW w:w="3539" w:type="dxa"/>
            <w:tcBorders>
              <w:top w:val="nil"/>
              <w:bottom w:val="single" w:sz="4" w:space="0" w:color="auto"/>
            </w:tcBorders>
            <w:shd w:val="clear" w:color="auto" w:fill="D9D9D9" w:themeFill="background1" w:themeFillShade="D9"/>
            <w:noWrap/>
            <w:hideMark/>
          </w:tcPr>
          <w:p w:rsidR="00470902" w:rsidRPr="0043096A" w:rsidRDefault="00470902" w:rsidP="003D58F1">
            <w:pPr>
              <w:tabs>
                <w:tab w:val="left" w:pos="567"/>
                <w:tab w:val="left" w:pos="1134"/>
              </w:tabs>
              <w:spacing w:after="0"/>
              <w:rPr>
                <w:rFonts w:cs="Arial"/>
              </w:rPr>
            </w:pPr>
            <w:r w:rsidRPr="0043096A">
              <w:rPr>
                <w:rFonts w:cs="Arial"/>
              </w:rPr>
              <w:t> </w:t>
            </w:r>
          </w:p>
        </w:tc>
        <w:tc>
          <w:tcPr>
            <w:tcW w:w="1124" w:type="dxa"/>
            <w:tcBorders>
              <w:top w:val="nil"/>
              <w:bottom w:val="single" w:sz="4" w:space="0" w:color="auto"/>
            </w:tcBorders>
            <w:shd w:val="clear" w:color="auto" w:fill="D9D9D9" w:themeFill="background1" w:themeFillShade="D9"/>
            <w:noWrap/>
            <w:vAlign w:val="center"/>
            <w:hideMark/>
          </w:tcPr>
          <w:p w:rsidR="00470902" w:rsidRPr="0043096A" w:rsidRDefault="00470902" w:rsidP="003D58F1">
            <w:pPr>
              <w:tabs>
                <w:tab w:val="left" w:pos="567"/>
                <w:tab w:val="left" w:pos="1134"/>
              </w:tabs>
              <w:spacing w:after="0"/>
              <w:jc w:val="center"/>
              <w:rPr>
                <w:rFonts w:cs="Arial"/>
                <w:b/>
                <w:bCs/>
              </w:rPr>
            </w:pPr>
            <w:r>
              <w:rPr>
                <w:rFonts w:cs="Arial"/>
                <w:b/>
                <w:bCs/>
              </w:rPr>
              <w:t>£m</w:t>
            </w:r>
          </w:p>
        </w:tc>
        <w:tc>
          <w:tcPr>
            <w:tcW w:w="1124" w:type="dxa"/>
            <w:tcBorders>
              <w:top w:val="nil"/>
              <w:bottom w:val="single" w:sz="4" w:space="0" w:color="auto"/>
            </w:tcBorders>
            <w:shd w:val="clear" w:color="auto" w:fill="D9D9D9" w:themeFill="background1" w:themeFillShade="D9"/>
            <w:noWrap/>
            <w:vAlign w:val="center"/>
            <w:hideMark/>
          </w:tcPr>
          <w:p w:rsidR="00470902" w:rsidRPr="0043096A" w:rsidRDefault="00470902" w:rsidP="003D58F1">
            <w:pPr>
              <w:tabs>
                <w:tab w:val="left" w:pos="567"/>
                <w:tab w:val="left" w:pos="1134"/>
              </w:tabs>
              <w:spacing w:after="0"/>
              <w:jc w:val="center"/>
              <w:rPr>
                <w:rFonts w:cs="Arial"/>
                <w:b/>
                <w:bCs/>
              </w:rPr>
            </w:pPr>
            <w:r w:rsidRPr="0043096A">
              <w:rPr>
                <w:rFonts w:cs="Arial"/>
                <w:b/>
                <w:bCs/>
              </w:rPr>
              <w:t>£</w:t>
            </w:r>
            <w:r>
              <w:rPr>
                <w:rFonts w:cs="Arial"/>
                <w:b/>
                <w:bCs/>
              </w:rPr>
              <w:t>m</w:t>
            </w:r>
          </w:p>
        </w:tc>
        <w:tc>
          <w:tcPr>
            <w:tcW w:w="1124" w:type="dxa"/>
            <w:tcBorders>
              <w:top w:val="nil"/>
              <w:bottom w:val="single" w:sz="4" w:space="0" w:color="auto"/>
            </w:tcBorders>
            <w:shd w:val="clear" w:color="auto" w:fill="D9D9D9" w:themeFill="background1" w:themeFillShade="D9"/>
            <w:noWrap/>
            <w:vAlign w:val="center"/>
            <w:hideMark/>
          </w:tcPr>
          <w:p w:rsidR="00470902" w:rsidRPr="0043096A" w:rsidRDefault="00470902" w:rsidP="003D58F1">
            <w:pPr>
              <w:tabs>
                <w:tab w:val="left" w:pos="567"/>
                <w:tab w:val="left" w:pos="1134"/>
              </w:tabs>
              <w:spacing w:after="0"/>
              <w:jc w:val="center"/>
              <w:rPr>
                <w:rFonts w:cs="Arial"/>
                <w:b/>
                <w:bCs/>
              </w:rPr>
            </w:pPr>
            <w:r w:rsidRPr="0043096A">
              <w:rPr>
                <w:rFonts w:cs="Arial"/>
                <w:b/>
                <w:bCs/>
              </w:rPr>
              <w:t>£</w:t>
            </w:r>
            <w:r>
              <w:rPr>
                <w:rFonts w:cs="Arial"/>
                <w:b/>
                <w:bCs/>
              </w:rPr>
              <w:t>m</w:t>
            </w:r>
          </w:p>
        </w:tc>
        <w:tc>
          <w:tcPr>
            <w:tcW w:w="1124" w:type="dxa"/>
            <w:tcBorders>
              <w:top w:val="nil"/>
              <w:bottom w:val="single" w:sz="4" w:space="0" w:color="auto"/>
            </w:tcBorders>
            <w:shd w:val="clear" w:color="auto" w:fill="D9D9D9" w:themeFill="background1" w:themeFillShade="D9"/>
            <w:noWrap/>
            <w:vAlign w:val="center"/>
            <w:hideMark/>
          </w:tcPr>
          <w:p w:rsidR="00470902" w:rsidRPr="0043096A" w:rsidRDefault="00470902" w:rsidP="003D58F1">
            <w:pPr>
              <w:tabs>
                <w:tab w:val="left" w:pos="567"/>
                <w:tab w:val="left" w:pos="1134"/>
              </w:tabs>
              <w:spacing w:after="0"/>
              <w:jc w:val="center"/>
              <w:rPr>
                <w:rFonts w:cs="Arial"/>
                <w:b/>
                <w:bCs/>
              </w:rPr>
            </w:pPr>
            <w:r w:rsidRPr="0043096A">
              <w:rPr>
                <w:rFonts w:cs="Arial"/>
                <w:b/>
                <w:bCs/>
              </w:rPr>
              <w:t>£</w:t>
            </w:r>
            <w:r>
              <w:rPr>
                <w:rFonts w:cs="Arial"/>
                <w:b/>
                <w:bCs/>
              </w:rPr>
              <w:t>m</w:t>
            </w:r>
          </w:p>
        </w:tc>
        <w:tc>
          <w:tcPr>
            <w:tcW w:w="1124" w:type="dxa"/>
            <w:tcBorders>
              <w:top w:val="nil"/>
              <w:bottom w:val="single" w:sz="4" w:space="0" w:color="auto"/>
            </w:tcBorders>
            <w:shd w:val="clear" w:color="auto" w:fill="D9D9D9" w:themeFill="background1" w:themeFillShade="D9"/>
            <w:noWrap/>
            <w:vAlign w:val="center"/>
            <w:hideMark/>
          </w:tcPr>
          <w:p w:rsidR="00470902" w:rsidRPr="0043096A" w:rsidRDefault="00470902" w:rsidP="003D58F1">
            <w:pPr>
              <w:tabs>
                <w:tab w:val="left" w:pos="567"/>
                <w:tab w:val="left" w:pos="1134"/>
              </w:tabs>
              <w:spacing w:after="0"/>
              <w:jc w:val="center"/>
              <w:rPr>
                <w:rFonts w:cs="Arial"/>
                <w:b/>
                <w:bCs/>
              </w:rPr>
            </w:pPr>
            <w:r w:rsidRPr="0043096A">
              <w:rPr>
                <w:rFonts w:cs="Arial"/>
                <w:b/>
                <w:bCs/>
              </w:rPr>
              <w:t>£</w:t>
            </w:r>
            <w:r>
              <w:rPr>
                <w:rFonts w:cs="Arial"/>
                <w:b/>
                <w:bCs/>
              </w:rPr>
              <w:t>m</w:t>
            </w:r>
          </w:p>
        </w:tc>
      </w:tr>
      <w:tr w:rsidR="00470902" w:rsidRPr="0043096A" w:rsidTr="00E61F8F">
        <w:trPr>
          <w:trHeight w:val="789"/>
        </w:trPr>
        <w:tc>
          <w:tcPr>
            <w:tcW w:w="3539" w:type="dxa"/>
            <w:tcBorders>
              <w:bottom w:val="nil"/>
            </w:tcBorders>
            <w:noWrap/>
            <w:vAlign w:val="center"/>
            <w:hideMark/>
          </w:tcPr>
          <w:p w:rsidR="00470902" w:rsidRPr="00E61F8F" w:rsidRDefault="00C05A82" w:rsidP="000F0E5F">
            <w:pPr>
              <w:tabs>
                <w:tab w:val="left" w:pos="567"/>
                <w:tab w:val="left" w:pos="1134"/>
              </w:tabs>
              <w:spacing w:after="0" w:line="360" w:lineRule="auto"/>
              <w:rPr>
                <w:rFonts w:cs="Arial"/>
                <w:bCs/>
              </w:rPr>
            </w:pPr>
            <w:r>
              <w:rPr>
                <w:rFonts w:cs="Arial"/>
                <w:b/>
                <w:bCs/>
              </w:rPr>
              <w:t xml:space="preserve">Total </w:t>
            </w:r>
            <w:r w:rsidR="00470902" w:rsidRPr="0043096A">
              <w:rPr>
                <w:rFonts w:cs="Arial"/>
                <w:b/>
                <w:bCs/>
              </w:rPr>
              <w:t>DEL</w:t>
            </w:r>
            <w:r w:rsidR="009A2CC4">
              <w:rPr>
                <w:rFonts w:cs="Arial"/>
                <w:b/>
                <w:bCs/>
              </w:rPr>
              <w:t xml:space="preserve"> (all departments)</w:t>
            </w:r>
            <w:r w:rsidR="00E61F8F">
              <w:rPr>
                <w:rFonts w:cs="Arial"/>
                <w:bCs/>
              </w:rPr>
              <w:t xml:space="preserve"> (Published in the budget report on 8</w:t>
            </w:r>
            <w:r w:rsidR="00E61F8F" w:rsidRPr="00E61F8F">
              <w:rPr>
                <w:rFonts w:cs="Arial"/>
                <w:bCs/>
                <w:vertAlign w:val="superscript"/>
              </w:rPr>
              <w:t>th</w:t>
            </w:r>
            <w:r w:rsidR="00E61F8F">
              <w:rPr>
                <w:rFonts w:cs="Arial"/>
                <w:bCs/>
              </w:rPr>
              <w:t xml:space="preserve"> July</w:t>
            </w:r>
            <w:r w:rsidR="00C4517D">
              <w:rPr>
                <w:rFonts w:cs="Arial"/>
                <w:bCs/>
              </w:rPr>
              <w:t xml:space="preserve"> 2015</w:t>
            </w:r>
            <w:r w:rsidR="00E61F8F">
              <w:rPr>
                <w:rFonts w:cs="Arial"/>
                <w:bCs/>
              </w:rPr>
              <w:t>)</w:t>
            </w:r>
          </w:p>
        </w:tc>
        <w:tc>
          <w:tcPr>
            <w:tcW w:w="1124" w:type="dxa"/>
            <w:tcBorders>
              <w:bottom w:val="nil"/>
            </w:tcBorders>
            <w:noWrap/>
            <w:vAlign w:val="center"/>
            <w:hideMark/>
          </w:tcPr>
          <w:p w:rsidR="00470902" w:rsidRPr="0043096A" w:rsidRDefault="00470902" w:rsidP="000F0E5F">
            <w:pPr>
              <w:tabs>
                <w:tab w:val="left" w:pos="567"/>
                <w:tab w:val="left" w:pos="1134"/>
              </w:tabs>
              <w:spacing w:after="0" w:line="360" w:lineRule="auto"/>
              <w:jc w:val="center"/>
              <w:rPr>
                <w:rFonts w:cs="Arial"/>
              </w:rPr>
            </w:pPr>
            <w:r w:rsidRPr="0043096A">
              <w:rPr>
                <w:rFonts w:cs="Arial"/>
              </w:rPr>
              <w:t>315.100</w:t>
            </w:r>
          </w:p>
        </w:tc>
        <w:tc>
          <w:tcPr>
            <w:tcW w:w="1124" w:type="dxa"/>
            <w:tcBorders>
              <w:bottom w:val="nil"/>
            </w:tcBorders>
            <w:noWrap/>
            <w:vAlign w:val="center"/>
            <w:hideMark/>
          </w:tcPr>
          <w:p w:rsidR="00470902" w:rsidRPr="0043096A" w:rsidRDefault="00470902" w:rsidP="000F0E5F">
            <w:pPr>
              <w:tabs>
                <w:tab w:val="left" w:pos="567"/>
                <w:tab w:val="left" w:pos="1134"/>
              </w:tabs>
              <w:spacing w:after="0" w:line="360" w:lineRule="auto"/>
              <w:jc w:val="center"/>
              <w:rPr>
                <w:rFonts w:cs="Arial"/>
              </w:rPr>
            </w:pPr>
            <w:r w:rsidRPr="0043096A">
              <w:rPr>
                <w:rFonts w:cs="Arial"/>
              </w:rPr>
              <w:t>319.100</w:t>
            </w:r>
          </w:p>
        </w:tc>
        <w:tc>
          <w:tcPr>
            <w:tcW w:w="1124" w:type="dxa"/>
            <w:tcBorders>
              <w:bottom w:val="nil"/>
            </w:tcBorders>
            <w:noWrap/>
            <w:vAlign w:val="center"/>
            <w:hideMark/>
          </w:tcPr>
          <w:p w:rsidR="00470902" w:rsidRPr="0043096A" w:rsidRDefault="00470902" w:rsidP="000F0E5F">
            <w:pPr>
              <w:tabs>
                <w:tab w:val="left" w:pos="567"/>
                <w:tab w:val="left" w:pos="1134"/>
              </w:tabs>
              <w:spacing w:after="0" w:line="360" w:lineRule="auto"/>
              <w:jc w:val="center"/>
              <w:rPr>
                <w:rFonts w:cs="Arial"/>
              </w:rPr>
            </w:pPr>
            <w:r w:rsidRPr="0043096A">
              <w:rPr>
                <w:rFonts w:cs="Arial"/>
              </w:rPr>
              <w:t>317.400</w:t>
            </w:r>
          </w:p>
        </w:tc>
        <w:tc>
          <w:tcPr>
            <w:tcW w:w="1124" w:type="dxa"/>
            <w:tcBorders>
              <w:bottom w:val="nil"/>
            </w:tcBorders>
            <w:noWrap/>
            <w:vAlign w:val="center"/>
            <w:hideMark/>
          </w:tcPr>
          <w:p w:rsidR="00470902" w:rsidRPr="0043096A" w:rsidRDefault="00470902" w:rsidP="000F0E5F">
            <w:pPr>
              <w:tabs>
                <w:tab w:val="left" w:pos="567"/>
                <w:tab w:val="left" w:pos="1134"/>
              </w:tabs>
              <w:spacing w:after="0" w:line="360" w:lineRule="auto"/>
              <w:jc w:val="center"/>
              <w:rPr>
                <w:rFonts w:cs="Arial"/>
              </w:rPr>
            </w:pPr>
            <w:r w:rsidRPr="0043096A">
              <w:rPr>
                <w:rFonts w:cs="Arial"/>
              </w:rPr>
              <w:t>317.400</w:t>
            </w:r>
          </w:p>
        </w:tc>
        <w:tc>
          <w:tcPr>
            <w:tcW w:w="1124" w:type="dxa"/>
            <w:tcBorders>
              <w:bottom w:val="nil"/>
            </w:tcBorders>
            <w:noWrap/>
            <w:vAlign w:val="center"/>
            <w:hideMark/>
          </w:tcPr>
          <w:p w:rsidR="00470902" w:rsidRPr="0043096A" w:rsidRDefault="00470902" w:rsidP="000F0E5F">
            <w:pPr>
              <w:tabs>
                <w:tab w:val="left" w:pos="567"/>
                <w:tab w:val="left" w:pos="1134"/>
              </w:tabs>
              <w:spacing w:after="0" w:line="360" w:lineRule="auto"/>
              <w:jc w:val="center"/>
              <w:rPr>
                <w:rFonts w:cs="Arial"/>
              </w:rPr>
            </w:pPr>
            <w:r w:rsidRPr="0043096A">
              <w:rPr>
                <w:rFonts w:cs="Arial"/>
              </w:rPr>
              <w:t>322.000</w:t>
            </w:r>
          </w:p>
        </w:tc>
      </w:tr>
      <w:tr w:rsidR="00470902" w:rsidRPr="0043096A" w:rsidTr="00E61F8F">
        <w:trPr>
          <w:trHeight w:val="701"/>
        </w:trPr>
        <w:tc>
          <w:tcPr>
            <w:tcW w:w="3539" w:type="dxa"/>
            <w:tcBorders>
              <w:top w:val="nil"/>
              <w:bottom w:val="single" w:sz="4" w:space="0" w:color="auto"/>
            </w:tcBorders>
            <w:noWrap/>
            <w:vAlign w:val="center"/>
            <w:hideMark/>
          </w:tcPr>
          <w:p w:rsidR="00470902" w:rsidRPr="0043096A" w:rsidRDefault="00470902" w:rsidP="000F0E5F">
            <w:pPr>
              <w:tabs>
                <w:tab w:val="left" w:pos="567"/>
                <w:tab w:val="left" w:pos="1134"/>
              </w:tabs>
              <w:spacing w:after="0" w:line="360" w:lineRule="auto"/>
              <w:rPr>
                <w:rFonts w:cs="Arial"/>
              </w:rPr>
            </w:pPr>
            <w:r w:rsidRPr="0043096A">
              <w:rPr>
                <w:rFonts w:cs="Arial"/>
              </w:rPr>
              <w:t>% change</w:t>
            </w:r>
          </w:p>
        </w:tc>
        <w:tc>
          <w:tcPr>
            <w:tcW w:w="1124" w:type="dxa"/>
            <w:tcBorders>
              <w:top w:val="nil"/>
              <w:bottom w:val="single" w:sz="4" w:space="0" w:color="auto"/>
            </w:tcBorders>
            <w:noWrap/>
            <w:vAlign w:val="center"/>
            <w:hideMark/>
          </w:tcPr>
          <w:p w:rsidR="00470902" w:rsidRPr="0043096A" w:rsidRDefault="00470902" w:rsidP="000F0E5F">
            <w:pPr>
              <w:tabs>
                <w:tab w:val="left" w:pos="567"/>
                <w:tab w:val="left" w:pos="1134"/>
              </w:tabs>
              <w:spacing w:after="0" w:line="360" w:lineRule="auto"/>
              <w:jc w:val="center"/>
              <w:rPr>
                <w:rFonts w:cs="Arial"/>
              </w:rPr>
            </w:pPr>
          </w:p>
        </w:tc>
        <w:tc>
          <w:tcPr>
            <w:tcW w:w="1124" w:type="dxa"/>
            <w:tcBorders>
              <w:top w:val="nil"/>
              <w:bottom w:val="single" w:sz="4" w:space="0" w:color="auto"/>
            </w:tcBorders>
            <w:noWrap/>
            <w:vAlign w:val="center"/>
            <w:hideMark/>
          </w:tcPr>
          <w:p w:rsidR="00470902" w:rsidRPr="0043096A" w:rsidRDefault="00470902" w:rsidP="000F0E5F">
            <w:pPr>
              <w:tabs>
                <w:tab w:val="left" w:pos="567"/>
                <w:tab w:val="left" w:pos="1134"/>
              </w:tabs>
              <w:spacing w:after="0" w:line="360" w:lineRule="auto"/>
              <w:jc w:val="center"/>
              <w:rPr>
                <w:rFonts w:cs="Arial"/>
              </w:rPr>
            </w:pPr>
            <w:r w:rsidRPr="0043096A">
              <w:rPr>
                <w:rFonts w:cs="Arial"/>
              </w:rPr>
              <w:t>1.27</w:t>
            </w:r>
          </w:p>
        </w:tc>
        <w:tc>
          <w:tcPr>
            <w:tcW w:w="1124" w:type="dxa"/>
            <w:tcBorders>
              <w:top w:val="nil"/>
              <w:bottom w:val="single" w:sz="4" w:space="0" w:color="auto"/>
            </w:tcBorders>
            <w:noWrap/>
            <w:vAlign w:val="center"/>
            <w:hideMark/>
          </w:tcPr>
          <w:p w:rsidR="00470902" w:rsidRPr="0043096A" w:rsidRDefault="00470902" w:rsidP="000F0E5F">
            <w:pPr>
              <w:tabs>
                <w:tab w:val="left" w:pos="567"/>
                <w:tab w:val="left" w:pos="1134"/>
              </w:tabs>
              <w:spacing w:after="0" w:line="360" w:lineRule="auto"/>
              <w:jc w:val="center"/>
              <w:rPr>
                <w:rFonts w:cs="Arial"/>
              </w:rPr>
            </w:pPr>
            <w:r w:rsidRPr="0043096A">
              <w:rPr>
                <w:rFonts w:cs="Arial"/>
              </w:rPr>
              <w:t>-0.53</w:t>
            </w:r>
          </w:p>
        </w:tc>
        <w:tc>
          <w:tcPr>
            <w:tcW w:w="1124" w:type="dxa"/>
            <w:tcBorders>
              <w:top w:val="nil"/>
              <w:bottom w:val="single" w:sz="4" w:space="0" w:color="auto"/>
            </w:tcBorders>
            <w:noWrap/>
            <w:vAlign w:val="center"/>
            <w:hideMark/>
          </w:tcPr>
          <w:p w:rsidR="00470902" w:rsidRPr="0043096A" w:rsidRDefault="00470902" w:rsidP="000F0E5F">
            <w:pPr>
              <w:tabs>
                <w:tab w:val="left" w:pos="567"/>
                <w:tab w:val="left" w:pos="1134"/>
              </w:tabs>
              <w:spacing w:after="0" w:line="360" w:lineRule="auto"/>
              <w:jc w:val="center"/>
              <w:rPr>
                <w:rFonts w:cs="Arial"/>
              </w:rPr>
            </w:pPr>
            <w:r w:rsidRPr="0043096A">
              <w:rPr>
                <w:rFonts w:cs="Arial"/>
              </w:rPr>
              <w:t>0.00</w:t>
            </w:r>
          </w:p>
        </w:tc>
        <w:tc>
          <w:tcPr>
            <w:tcW w:w="1124" w:type="dxa"/>
            <w:tcBorders>
              <w:top w:val="nil"/>
              <w:bottom w:val="single" w:sz="4" w:space="0" w:color="auto"/>
            </w:tcBorders>
            <w:noWrap/>
            <w:vAlign w:val="center"/>
            <w:hideMark/>
          </w:tcPr>
          <w:p w:rsidR="00470902" w:rsidRPr="0043096A" w:rsidRDefault="00470902" w:rsidP="000F0E5F">
            <w:pPr>
              <w:tabs>
                <w:tab w:val="left" w:pos="567"/>
                <w:tab w:val="left" w:pos="1134"/>
              </w:tabs>
              <w:spacing w:after="0" w:line="360" w:lineRule="auto"/>
              <w:jc w:val="center"/>
              <w:rPr>
                <w:rFonts w:cs="Arial"/>
              </w:rPr>
            </w:pPr>
            <w:r w:rsidRPr="0043096A">
              <w:rPr>
                <w:rFonts w:cs="Arial"/>
              </w:rPr>
              <w:t>1.45</w:t>
            </w:r>
          </w:p>
        </w:tc>
      </w:tr>
      <w:tr w:rsidR="00E61F8F" w:rsidRPr="0043096A" w:rsidTr="00E61F8F">
        <w:trPr>
          <w:trHeight w:val="308"/>
        </w:trPr>
        <w:tc>
          <w:tcPr>
            <w:tcW w:w="3539" w:type="dxa"/>
            <w:tcBorders>
              <w:top w:val="single" w:sz="4" w:space="0" w:color="auto"/>
              <w:bottom w:val="nil"/>
            </w:tcBorders>
            <w:noWrap/>
            <w:vAlign w:val="center"/>
          </w:tcPr>
          <w:p w:rsidR="00E61F8F" w:rsidRPr="0043096A" w:rsidRDefault="00E61F8F" w:rsidP="000F0E5F">
            <w:pPr>
              <w:tabs>
                <w:tab w:val="left" w:pos="567"/>
                <w:tab w:val="left" w:pos="1134"/>
              </w:tabs>
              <w:spacing w:after="0" w:line="360" w:lineRule="auto"/>
              <w:rPr>
                <w:rFonts w:cs="Arial"/>
              </w:rPr>
            </w:pPr>
            <w:r>
              <w:rPr>
                <w:rFonts w:cs="Arial"/>
                <w:b/>
                <w:bCs/>
              </w:rPr>
              <w:t xml:space="preserve">Less </w:t>
            </w:r>
            <w:r w:rsidRPr="0043096A">
              <w:rPr>
                <w:rFonts w:cs="Arial"/>
                <w:b/>
                <w:bCs/>
              </w:rPr>
              <w:t>Protected Departments</w:t>
            </w:r>
          </w:p>
        </w:tc>
        <w:tc>
          <w:tcPr>
            <w:tcW w:w="5620" w:type="dxa"/>
            <w:gridSpan w:val="5"/>
            <w:tcBorders>
              <w:top w:val="single" w:sz="4" w:space="0" w:color="auto"/>
              <w:bottom w:val="single" w:sz="4" w:space="0" w:color="auto"/>
              <w:right w:val="nil"/>
            </w:tcBorders>
            <w:noWrap/>
            <w:vAlign w:val="center"/>
          </w:tcPr>
          <w:p w:rsidR="00E61F8F" w:rsidRPr="0043096A" w:rsidRDefault="00E61F8F" w:rsidP="000F0E5F">
            <w:pPr>
              <w:tabs>
                <w:tab w:val="left" w:pos="567"/>
                <w:tab w:val="left" w:pos="1134"/>
              </w:tabs>
              <w:spacing w:after="0" w:line="360" w:lineRule="auto"/>
              <w:jc w:val="left"/>
              <w:rPr>
                <w:rFonts w:cs="Arial"/>
              </w:rPr>
            </w:pPr>
            <w:r>
              <w:rPr>
                <w:rFonts w:cs="Arial"/>
              </w:rPr>
              <w:t>(Assumed DEL based on current intelligence)</w:t>
            </w:r>
          </w:p>
        </w:tc>
      </w:tr>
      <w:tr w:rsidR="00470902" w:rsidRPr="0043096A" w:rsidTr="00E61F8F">
        <w:trPr>
          <w:trHeight w:val="308"/>
        </w:trPr>
        <w:tc>
          <w:tcPr>
            <w:tcW w:w="3539" w:type="dxa"/>
            <w:tcBorders>
              <w:top w:val="nil"/>
              <w:bottom w:val="nil"/>
            </w:tcBorders>
            <w:noWrap/>
            <w:vAlign w:val="center"/>
            <w:hideMark/>
          </w:tcPr>
          <w:p w:rsidR="00470902" w:rsidRPr="0043096A" w:rsidRDefault="00470902" w:rsidP="000F0E5F">
            <w:pPr>
              <w:tabs>
                <w:tab w:val="left" w:pos="567"/>
                <w:tab w:val="left" w:pos="1134"/>
              </w:tabs>
              <w:spacing w:after="0" w:line="360" w:lineRule="auto"/>
              <w:jc w:val="left"/>
              <w:rPr>
                <w:rFonts w:cs="Arial"/>
              </w:rPr>
            </w:pPr>
            <w:r w:rsidRPr="0043096A">
              <w:rPr>
                <w:rFonts w:cs="Arial"/>
              </w:rPr>
              <w:t>NHS/Health</w:t>
            </w:r>
          </w:p>
        </w:tc>
        <w:tc>
          <w:tcPr>
            <w:tcW w:w="1124" w:type="dxa"/>
            <w:tcBorders>
              <w:top w:val="single" w:sz="4" w:space="0" w:color="auto"/>
              <w:bottom w:val="nil"/>
            </w:tcBorders>
            <w:noWrap/>
            <w:vAlign w:val="center"/>
            <w:hideMark/>
          </w:tcPr>
          <w:p w:rsidR="00470902" w:rsidRPr="0043096A" w:rsidRDefault="00470902" w:rsidP="000F0E5F">
            <w:pPr>
              <w:tabs>
                <w:tab w:val="left" w:pos="567"/>
                <w:tab w:val="left" w:pos="1134"/>
              </w:tabs>
              <w:spacing w:after="0" w:line="360" w:lineRule="auto"/>
              <w:jc w:val="center"/>
              <w:rPr>
                <w:rFonts w:cs="Arial"/>
              </w:rPr>
            </w:pPr>
            <w:r w:rsidRPr="0043096A">
              <w:rPr>
                <w:rFonts w:cs="Arial"/>
              </w:rPr>
              <w:t>111.900</w:t>
            </w:r>
          </w:p>
        </w:tc>
        <w:tc>
          <w:tcPr>
            <w:tcW w:w="1124" w:type="dxa"/>
            <w:tcBorders>
              <w:top w:val="single" w:sz="4" w:space="0" w:color="auto"/>
              <w:bottom w:val="nil"/>
            </w:tcBorders>
            <w:noWrap/>
            <w:vAlign w:val="center"/>
            <w:hideMark/>
          </w:tcPr>
          <w:p w:rsidR="00470902" w:rsidRPr="0043096A" w:rsidRDefault="00470902" w:rsidP="000F0E5F">
            <w:pPr>
              <w:tabs>
                <w:tab w:val="left" w:pos="567"/>
                <w:tab w:val="left" w:pos="1134"/>
              </w:tabs>
              <w:spacing w:after="0" w:line="360" w:lineRule="auto"/>
              <w:jc w:val="center"/>
              <w:rPr>
                <w:rFonts w:cs="Arial"/>
              </w:rPr>
            </w:pPr>
            <w:r w:rsidRPr="0043096A">
              <w:rPr>
                <w:rFonts w:cs="Arial"/>
              </w:rPr>
              <w:t>117.690</w:t>
            </w:r>
          </w:p>
        </w:tc>
        <w:tc>
          <w:tcPr>
            <w:tcW w:w="1124" w:type="dxa"/>
            <w:tcBorders>
              <w:top w:val="single" w:sz="4" w:space="0" w:color="auto"/>
              <w:bottom w:val="nil"/>
            </w:tcBorders>
            <w:noWrap/>
            <w:vAlign w:val="center"/>
            <w:hideMark/>
          </w:tcPr>
          <w:p w:rsidR="00470902" w:rsidRPr="0043096A" w:rsidRDefault="00470902" w:rsidP="000F0E5F">
            <w:pPr>
              <w:tabs>
                <w:tab w:val="left" w:pos="567"/>
                <w:tab w:val="left" w:pos="1134"/>
              </w:tabs>
              <w:spacing w:after="0" w:line="360" w:lineRule="auto"/>
              <w:jc w:val="center"/>
              <w:rPr>
                <w:rFonts w:cs="Arial"/>
              </w:rPr>
            </w:pPr>
            <w:r w:rsidRPr="0043096A">
              <w:rPr>
                <w:rFonts w:cs="Arial"/>
              </w:rPr>
              <w:t>121.809</w:t>
            </w:r>
          </w:p>
        </w:tc>
        <w:tc>
          <w:tcPr>
            <w:tcW w:w="1124" w:type="dxa"/>
            <w:tcBorders>
              <w:top w:val="single" w:sz="4" w:space="0" w:color="auto"/>
              <w:bottom w:val="nil"/>
            </w:tcBorders>
            <w:noWrap/>
            <w:vAlign w:val="center"/>
            <w:hideMark/>
          </w:tcPr>
          <w:p w:rsidR="00470902" w:rsidRPr="0043096A" w:rsidRDefault="00470902" w:rsidP="000F0E5F">
            <w:pPr>
              <w:tabs>
                <w:tab w:val="left" w:pos="567"/>
                <w:tab w:val="left" w:pos="1134"/>
              </w:tabs>
              <w:spacing w:after="0" w:line="360" w:lineRule="auto"/>
              <w:jc w:val="center"/>
              <w:rPr>
                <w:rFonts w:cs="Arial"/>
              </w:rPr>
            </w:pPr>
            <w:r w:rsidRPr="0043096A">
              <w:rPr>
                <w:rFonts w:cs="Arial"/>
              </w:rPr>
              <w:t>126.123</w:t>
            </w:r>
          </w:p>
        </w:tc>
        <w:tc>
          <w:tcPr>
            <w:tcW w:w="1124" w:type="dxa"/>
            <w:tcBorders>
              <w:top w:val="single" w:sz="4" w:space="0" w:color="auto"/>
              <w:bottom w:val="nil"/>
            </w:tcBorders>
            <w:noWrap/>
            <w:vAlign w:val="center"/>
            <w:hideMark/>
          </w:tcPr>
          <w:p w:rsidR="00470902" w:rsidRPr="0043096A" w:rsidRDefault="00470902" w:rsidP="000F0E5F">
            <w:pPr>
              <w:tabs>
                <w:tab w:val="left" w:pos="567"/>
                <w:tab w:val="left" w:pos="1134"/>
              </w:tabs>
              <w:spacing w:after="0" w:line="360" w:lineRule="auto"/>
              <w:jc w:val="center"/>
              <w:rPr>
                <w:rFonts w:cs="Arial"/>
              </w:rPr>
            </w:pPr>
            <w:r w:rsidRPr="0043096A">
              <w:rPr>
                <w:rFonts w:cs="Arial"/>
              </w:rPr>
              <w:t>130.646</w:t>
            </w:r>
          </w:p>
        </w:tc>
      </w:tr>
      <w:tr w:rsidR="00470902" w:rsidRPr="0043096A" w:rsidTr="00E61F8F">
        <w:trPr>
          <w:trHeight w:val="308"/>
        </w:trPr>
        <w:tc>
          <w:tcPr>
            <w:tcW w:w="3539" w:type="dxa"/>
            <w:tcBorders>
              <w:top w:val="nil"/>
              <w:bottom w:val="nil"/>
            </w:tcBorders>
            <w:noWrap/>
            <w:vAlign w:val="center"/>
            <w:hideMark/>
          </w:tcPr>
          <w:p w:rsidR="00470902" w:rsidRPr="0043096A" w:rsidRDefault="00470902" w:rsidP="000F0E5F">
            <w:pPr>
              <w:tabs>
                <w:tab w:val="left" w:pos="567"/>
                <w:tab w:val="left" w:pos="1134"/>
              </w:tabs>
              <w:spacing w:after="0" w:line="360" w:lineRule="auto"/>
              <w:jc w:val="left"/>
              <w:rPr>
                <w:rFonts w:cs="Arial"/>
              </w:rPr>
            </w:pPr>
            <w:r w:rsidRPr="0043096A">
              <w:rPr>
                <w:rFonts w:cs="Arial"/>
              </w:rPr>
              <w:t>International development</w:t>
            </w:r>
          </w:p>
        </w:tc>
        <w:tc>
          <w:tcPr>
            <w:tcW w:w="1124" w:type="dxa"/>
            <w:tcBorders>
              <w:top w:val="nil"/>
              <w:bottom w:val="nil"/>
            </w:tcBorders>
            <w:noWrap/>
            <w:vAlign w:val="center"/>
            <w:hideMark/>
          </w:tcPr>
          <w:p w:rsidR="00470902" w:rsidRPr="0043096A" w:rsidRDefault="00470902" w:rsidP="000F0E5F">
            <w:pPr>
              <w:tabs>
                <w:tab w:val="left" w:pos="567"/>
                <w:tab w:val="left" w:pos="1134"/>
              </w:tabs>
              <w:spacing w:after="0" w:line="360" w:lineRule="auto"/>
              <w:jc w:val="center"/>
              <w:rPr>
                <w:rFonts w:cs="Arial"/>
              </w:rPr>
            </w:pPr>
            <w:r w:rsidRPr="0043096A">
              <w:rPr>
                <w:rFonts w:cs="Arial"/>
              </w:rPr>
              <w:t>7.400</w:t>
            </w:r>
          </w:p>
        </w:tc>
        <w:tc>
          <w:tcPr>
            <w:tcW w:w="1124" w:type="dxa"/>
            <w:tcBorders>
              <w:top w:val="nil"/>
              <w:bottom w:val="nil"/>
            </w:tcBorders>
            <w:noWrap/>
            <w:vAlign w:val="center"/>
            <w:hideMark/>
          </w:tcPr>
          <w:p w:rsidR="00470902" w:rsidRPr="0043096A" w:rsidRDefault="00470902" w:rsidP="000F0E5F">
            <w:pPr>
              <w:tabs>
                <w:tab w:val="left" w:pos="567"/>
                <w:tab w:val="left" w:pos="1134"/>
              </w:tabs>
              <w:spacing w:after="0" w:line="360" w:lineRule="auto"/>
              <w:jc w:val="center"/>
              <w:rPr>
                <w:rFonts w:cs="Arial"/>
              </w:rPr>
            </w:pPr>
            <w:r w:rsidRPr="0043096A">
              <w:rPr>
                <w:rFonts w:cs="Arial"/>
              </w:rPr>
              <w:t>7.518</w:t>
            </w:r>
          </w:p>
        </w:tc>
        <w:tc>
          <w:tcPr>
            <w:tcW w:w="1124" w:type="dxa"/>
            <w:tcBorders>
              <w:top w:val="nil"/>
              <w:bottom w:val="nil"/>
            </w:tcBorders>
            <w:noWrap/>
            <w:vAlign w:val="center"/>
            <w:hideMark/>
          </w:tcPr>
          <w:p w:rsidR="00470902" w:rsidRPr="0043096A" w:rsidRDefault="00470902" w:rsidP="000F0E5F">
            <w:pPr>
              <w:tabs>
                <w:tab w:val="left" w:pos="567"/>
                <w:tab w:val="left" w:pos="1134"/>
              </w:tabs>
              <w:spacing w:after="0" w:line="360" w:lineRule="auto"/>
              <w:jc w:val="center"/>
              <w:rPr>
                <w:rFonts w:cs="Arial"/>
              </w:rPr>
            </w:pPr>
            <w:r w:rsidRPr="0043096A">
              <w:rPr>
                <w:rFonts w:cs="Arial"/>
              </w:rPr>
              <w:t>7.654</w:t>
            </w:r>
          </w:p>
        </w:tc>
        <w:tc>
          <w:tcPr>
            <w:tcW w:w="1124" w:type="dxa"/>
            <w:tcBorders>
              <w:top w:val="nil"/>
              <w:bottom w:val="nil"/>
            </w:tcBorders>
            <w:noWrap/>
            <w:vAlign w:val="center"/>
            <w:hideMark/>
          </w:tcPr>
          <w:p w:rsidR="00470902" w:rsidRPr="0043096A" w:rsidRDefault="00470902" w:rsidP="000F0E5F">
            <w:pPr>
              <w:tabs>
                <w:tab w:val="left" w:pos="567"/>
                <w:tab w:val="left" w:pos="1134"/>
              </w:tabs>
              <w:spacing w:after="0" w:line="360" w:lineRule="auto"/>
              <w:jc w:val="center"/>
              <w:rPr>
                <w:rFonts w:cs="Arial"/>
              </w:rPr>
            </w:pPr>
            <w:r w:rsidRPr="0043096A">
              <w:rPr>
                <w:rFonts w:cs="Arial"/>
              </w:rPr>
              <w:t>7.799</w:t>
            </w:r>
          </w:p>
        </w:tc>
        <w:tc>
          <w:tcPr>
            <w:tcW w:w="1124" w:type="dxa"/>
            <w:tcBorders>
              <w:top w:val="nil"/>
              <w:bottom w:val="nil"/>
            </w:tcBorders>
            <w:noWrap/>
            <w:vAlign w:val="center"/>
            <w:hideMark/>
          </w:tcPr>
          <w:p w:rsidR="00470902" w:rsidRPr="0043096A" w:rsidRDefault="00470902" w:rsidP="000F0E5F">
            <w:pPr>
              <w:tabs>
                <w:tab w:val="left" w:pos="567"/>
                <w:tab w:val="left" w:pos="1134"/>
              </w:tabs>
              <w:spacing w:after="0" w:line="360" w:lineRule="auto"/>
              <w:jc w:val="center"/>
              <w:rPr>
                <w:rFonts w:cs="Arial"/>
              </w:rPr>
            </w:pPr>
            <w:r w:rsidRPr="0043096A">
              <w:rPr>
                <w:rFonts w:cs="Arial"/>
              </w:rPr>
              <w:t>7.955</w:t>
            </w:r>
          </w:p>
        </w:tc>
      </w:tr>
      <w:tr w:rsidR="00470902" w:rsidRPr="0043096A" w:rsidTr="00E61F8F">
        <w:trPr>
          <w:trHeight w:val="308"/>
        </w:trPr>
        <w:tc>
          <w:tcPr>
            <w:tcW w:w="3539" w:type="dxa"/>
            <w:tcBorders>
              <w:top w:val="nil"/>
              <w:bottom w:val="nil"/>
            </w:tcBorders>
            <w:noWrap/>
            <w:vAlign w:val="center"/>
            <w:hideMark/>
          </w:tcPr>
          <w:p w:rsidR="00470902" w:rsidRPr="0043096A" w:rsidRDefault="00470902" w:rsidP="000F0E5F">
            <w:pPr>
              <w:tabs>
                <w:tab w:val="left" w:pos="567"/>
                <w:tab w:val="left" w:pos="1134"/>
              </w:tabs>
              <w:spacing w:after="0" w:line="360" w:lineRule="auto"/>
              <w:jc w:val="left"/>
              <w:rPr>
                <w:rFonts w:cs="Arial"/>
              </w:rPr>
            </w:pPr>
            <w:r w:rsidRPr="0043096A">
              <w:rPr>
                <w:rFonts w:cs="Arial"/>
              </w:rPr>
              <w:t>Education</w:t>
            </w:r>
          </w:p>
        </w:tc>
        <w:tc>
          <w:tcPr>
            <w:tcW w:w="1124" w:type="dxa"/>
            <w:tcBorders>
              <w:top w:val="nil"/>
              <w:bottom w:val="nil"/>
            </w:tcBorders>
            <w:noWrap/>
            <w:vAlign w:val="center"/>
            <w:hideMark/>
          </w:tcPr>
          <w:p w:rsidR="00470902" w:rsidRPr="0043096A" w:rsidRDefault="00470902" w:rsidP="000F0E5F">
            <w:pPr>
              <w:tabs>
                <w:tab w:val="left" w:pos="567"/>
                <w:tab w:val="left" w:pos="1134"/>
              </w:tabs>
              <w:spacing w:after="0" w:line="360" w:lineRule="auto"/>
              <w:jc w:val="center"/>
              <w:rPr>
                <w:rFonts w:cs="Arial"/>
              </w:rPr>
            </w:pPr>
            <w:r w:rsidRPr="0043096A">
              <w:rPr>
                <w:rFonts w:cs="Arial"/>
              </w:rPr>
              <w:t>53.500</w:t>
            </w:r>
          </w:p>
        </w:tc>
        <w:tc>
          <w:tcPr>
            <w:tcW w:w="1124" w:type="dxa"/>
            <w:tcBorders>
              <w:top w:val="nil"/>
              <w:bottom w:val="nil"/>
            </w:tcBorders>
            <w:noWrap/>
            <w:vAlign w:val="center"/>
            <w:hideMark/>
          </w:tcPr>
          <w:p w:rsidR="00470902" w:rsidRPr="0043096A" w:rsidRDefault="00470902" w:rsidP="000F0E5F">
            <w:pPr>
              <w:tabs>
                <w:tab w:val="left" w:pos="567"/>
                <w:tab w:val="left" w:pos="1134"/>
              </w:tabs>
              <w:spacing w:after="0" w:line="360" w:lineRule="auto"/>
              <w:jc w:val="center"/>
              <w:rPr>
                <w:rFonts w:cs="Arial"/>
              </w:rPr>
            </w:pPr>
            <w:r w:rsidRPr="0043096A">
              <w:rPr>
                <w:rFonts w:cs="Arial"/>
              </w:rPr>
              <w:t>54.356</w:t>
            </w:r>
          </w:p>
        </w:tc>
        <w:tc>
          <w:tcPr>
            <w:tcW w:w="1124" w:type="dxa"/>
            <w:tcBorders>
              <w:top w:val="nil"/>
              <w:bottom w:val="nil"/>
            </w:tcBorders>
            <w:noWrap/>
            <w:vAlign w:val="center"/>
            <w:hideMark/>
          </w:tcPr>
          <w:p w:rsidR="00470902" w:rsidRPr="0043096A" w:rsidRDefault="00470902" w:rsidP="000F0E5F">
            <w:pPr>
              <w:tabs>
                <w:tab w:val="left" w:pos="567"/>
                <w:tab w:val="left" w:pos="1134"/>
              </w:tabs>
              <w:spacing w:after="0" w:line="360" w:lineRule="auto"/>
              <w:jc w:val="center"/>
              <w:rPr>
                <w:rFonts w:cs="Arial"/>
              </w:rPr>
            </w:pPr>
            <w:r w:rsidRPr="0043096A">
              <w:rPr>
                <w:rFonts w:cs="Arial"/>
              </w:rPr>
              <w:t>55.334</w:t>
            </w:r>
          </w:p>
        </w:tc>
        <w:tc>
          <w:tcPr>
            <w:tcW w:w="1124" w:type="dxa"/>
            <w:tcBorders>
              <w:top w:val="nil"/>
              <w:bottom w:val="nil"/>
            </w:tcBorders>
            <w:noWrap/>
            <w:vAlign w:val="center"/>
            <w:hideMark/>
          </w:tcPr>
          <w:p w:rsidR="00470902" w:rsidRPr="0043096A" w:rsidRDefault="00470902" w:rsidP="000F0E5F">
            <w:pPr>
              <w:tabs>
                <w:tab w:val="left" w:pos="567"/>
                <w:tab w:val="left" w:pos="1134"/>
              </w:tabs>
              <w:spacing w:after="0" w:line="360" w:lineRule="auto"/>
              <w:jc w:val="center"/>
              <w:rPr>
                <w:rFonts w:cs="Arial"/>
              </w:rPr>
            </w:pPr>
            <w:r w:rsidRPr="0043096A">
              <w:rPr>
                <w:rFonts w:cs="Arial"/>
              </w:rPr>
              <w:t>56.386</w:t>
            </w:r>
          </w:p>
        </w:tc>
        <w:tc>
          <w:tcPr>
            <w:tcW w:w="1124" w:type="dxa"/>
            <w:tcBorders>
              <w:top w:val="nil"/>
              <w:bottom w:val="nil"/>
            </w:tcBorders>
            <w:noWrap/>
            <w:vAlign w:val="center"/>
            <w:hideMark/>
          </w:tcPr>
          <w:p w:rsidR="00470902" w:rsidRPr="0043096A" w:rsidRDefault="00470902" w:rsidP="000F0E5F">
            <w:pPr>
              <w:tabs>
                <w:tab w:val="left" w:pos="567"/>
                <w:tab w:val="left" w:pos="1134"/>
              </w:tabs>
              <w:spacing w:after="0" w:line="360" w:lineRule="auto"/>
              <w:jc w:val="center"/>
              <w:rPr>
                <w:rFonts w:cs="Arial"/>
              </w:rPr>
            </w:pPr>
            <w:r w:rsidRPr="0043096A">
              <w:rPr>
                <w:rFonts w:cs="Arial"/>
              </w:rPr>
              <w:t>57.513</w:t>
            </w:r>
          </w:p>
        </w:tc>
      </w:tr>
      <w:tr w:rsidR="00470902" w:rsidRPr="0043096A" w:rsidTr="00E61F8F">
        <w:trPr>
          <w:trHeight w:val="308"/>
        </w:trPr>
        <w:tc>
          <w:tcPr>
            <w:tcW w:w="3539" w:type="dxa"/>
            <w:tcBorders>
              <w:top w:val="nil"/>
            </w:tcBorders>
            <w:noWrap/>
            <w:vAlign w:val="center"/>
            <w:hideMark/>
          </w:tcPr>
          <w:p w:rsidR="00470902" w:rsidRPr="0043096A" w:rsidRDefault="00470902" w:rsidP="000F0E5F">
            <w:pPr>
              <w:tabs>
                <w:tab w:val="left" w:pos="567"/>
                <w:tab w:val="left" w:pos="1134"/>
              </w:tabs>
              <w:spacing w:after="0" w:line="360" w:lineRule="auto"/>
              <w:jc w:val="left"/>
              <w:rPr>
                <w:rFonts w:cs="Arial"/>
              </w:rPr>
            </w:pPr>
            <w:r w:rsidRPr="0043096A">
              <w:rPr>
                <w:rFonts w:cs="Arial"/>
              </w:rPr>
              <w:t>Defence</w:t>
            </w:r>
          </w:p>
        </w:tc>
        <w:tc>
          <w:tcPr>
            <w:tcW w:w="1124" w:type="dxa"/>
            <w:tcBorders>
              <w:top w:val="nil"/>
            </w:tcBorders>
            <w:noWrap/>
            <w:vAlign w:val="center"/>
            <w:hideMark/>
          </w:tcPr>
          <w:p w:rsidR="00470902" w:rsidRPr="0043096A" w:rsidRDefault="00470902" w:rsidP="000F0E5F">
            <w:pPr>
              <w:tabs>
                <w:tab w:val="left" w:pos="567"/>
                <w:tab w:val="left" w:pos="1134"/>
              </w:tabs>
              <w:spacing w:after="0" w:line="360" w:lineRule="auto"/>
              <w:jc w:val="center"/>
              <w:rPr>
                <w:rFonts w:cs="Arial"/>
              </w:rPr>
            </w:pPr>
            <w:r w:rsidRPr="0043096A">
              <w:rPr>
                <w:rFonts w:cs="Arial"/>
              </w:rPr>
              <w:t>28.100</w:t>
            </w:r>
          </w:p>
        </w:tc>
        <w:tc>
          <w:tcPr>
            <w:tcW w:w="1124" w:type="dxa"/>
            <w:tcBorders>
              <w:top w:val="nil"/>
            </w:tcBorders>
            <w:noWrap/>
            <w:vAlign w:val="center"/>
            <w:hideMark/>
          </w:tcPr>
          <w:p w:rsidR="00470902" w:rsidRPr="0043096A" w:rsidRDefault="00470902" w:rsidP="000F0E5F">
            <w:pPr>
              <w:tabs>
                <w:tab w:val="left" w:pos="567"/>
                <w:tab w:val="left" w:pos="1134"/>
              </w:tabs>
              <w:spacing w:after="0" w:line="360" w:lineRule="auto"/>
              <w:jc w:val="center"/>
              <w:rPr>
                <w:rFonts w:cs="Arial"/>
              </w:rPr>
            </w:pPr>
            <w:r w:rsidRPr="0043096A">
              <w:rPr>
                <w:rFonts w:cs="Arial"/>
              </w:rPr>
              <w:t>28.692</w:t>
            </w:r>
          </w:p>
        </w:tc>
        <w:tc>
          <w:tcPr>
            <w:tcW w:w="1124" w:type="dxa"/>
            <w:tcBorders>
              <w:top w:val="nil"/>
            </w:tcBorders>
            <w:noWrap/>
            <w:vAlign w:val="center"/>
            <w:hideMark/>
          </w:tcPr>
          <w:p w:rsidR="00470902" w:rsidRPr="0043096A" w:rsidRDefault="00470902" w:rsidP="000F0E5F">
            <w:pPr>
              <w:tabs>
                <w:tab w:val="left" w:pos="567"/>
                <w:tab w:val="left" w:pos="1134"/>
              </w:tabs>
              <w:spacing w:after="0" w:line="360" w:lineRule="auto"/>
              <w:jc w:val="center"/>
              <w:rPr>
                <w:rFonts w:cs="Arial"/>
              </w:rPr>
            </w:pPr>
            <w:r w:rsidRPr="0043096A">
              <w:rPr>
                <w:rFonts w:cs="Arial"/>
              </w:rPr>
              <w:t>29.355</w:t>
            </w:r>
          </w:p>
        </w:tc>
        <w:tc>
          <w:tcPr>
            <w:tcW w:w="1124" w:type="dxa"/>
            <w:tcBorders>
              <w:top w:val="nil"/>
            </w:tcBorders>
            <w:noWrap/>
            <w:vAlign w:val="center"/>
            <w:hideMark/>
          </w:tcPr>
          <w:p w:rsidR="00470902" w:rsidRPr="0043096A" w:rsidRDefault="00470902" w:rsidP="000F0E5F">
            <w:pPr>
              <w:tabs>
                <w:tab w:val="left" w:pos="567"/>
                <w:tab w:val="left" w:pos="1134"/>
              </w:tabs>
              <w:spacing w:after="0" w:line="360" w:lineRule="auto"/>
              <w:jc w:val="center"/>
              <w:rPr>
                <w:rFonts w:cs="Arial"/>
              </w:rPr>
            </w:pPr>
            <w:r w:rsidRPr="0043096A">
              <w:rPr>
                <w:rFonts w:cs="Arial"/>
              </w:rPr>
              <w:t>30.062</w:t>
            </w:r>
          </w:p>
        </w:tc>
        <w:tc>
          <w:tcPr>
            <w:tcW w:w="1124" w:type="dxa"/>
            <w:tcBorders>
              <w:top w:val="nil"/>
            </w:tcBorders>
            <w:noWrap/>
            <w:vAlign w:val="center"/>
            <w:hideMark/>
          </w:tcPr>
          <w:p w:rsidR="00470902" w:rsidRPr="0043096A" w:rsidRDefault="00470902" w:rsidP="000F0E5F">
            <w:pPr>
              <w:tabs>
                <w:tab w:val="left" w:pos="567"/>
                <w:tab w:val="left" w:pos="1134"/>
              </w:tabs>
              <w:spacing w:after="0" w:line="360" w:lineRule="auto"/>
              <w:jc w:val="center"/>
              <w:rPr>
                <w:rFonts w:cs="Arial"/>
              </w:rPr>
            </w:pPr>
            <w:r w:rsidRPr="0043096A">
              <w:rPr>
                <w:rFonts w:cs="Arial"/>
              </w:rPr>
              <w:t>30.817</w:t>
            </w:r>
          </w:p>
        </w:tc>
      </w:tr>
      <w:tr w:rsidR="00470902" w:rsidRPr="0043096A" w:rsidTr="00470902">
        <w:trPr>
          <w:trHeight w:val="308"/>
        </w:trPr>
        <w:tc>
          <w:tcPr>
            <w:tcW w:w="3539" w:type="dxa"/>
            <w:noWrap/>
            <w:vAlign w:val="center"/>
            <w:hideMark/>
          </w:tcPr>
          <w:p w:rsidR="00470902" w:rsidRPr="0043096A" w:rsidRDefault="00470902" w:rsidP="000F0E5F">
            <w:pPr>
              <w:tabs>
                <w:tab w:val="left" w:pos="567"/>
                <w:tab w:val="left" w:pos="1134"/>
              </w:tabs>
              <w:spacing w:after="0" w:line="360" w:lineRule="auto"/>
              <w:rPr>
                <w:rFonts w:cs="Arial"/>
                <w:b/>
                <w:bCs/>
              </w:rPr>
            </w:pPr>
            <w:r w:rsidRPr="0043096A">
              <w:rPr>
                <w:rFonts w:cs="Arial"/>
                <w:b/>
                <w:bCs/>
              </w:rPr>
              <w:t>Unprotected services</w:t>
            </w:r>
          </w:p>
        </w:tc>
        <w:tc>
          <w:tcPr>
            <w:tcW w:w="1124" w:type="dxa"/>
            <w:noWrap/>
            <w:vAlign w:val="center"/>
            <w:hideMark/>
          </w:tcPr>
          <w:p w:rsidR="00470902" w:rsidRPr="00C05A82" w:rsidRDefault="00470902" w:rsidP="000F0E5F">
            <w:pPr>
              <w:tabs>
                <w:tab w:val="left" w:pos="567"/>
                <w:tab w:val="left" w:pos="1134"/>
              </w:tabs>
              <w:spacing w:after="0" w:line="360" w:lineRule="auto"/>
              <w:jc w:val="center"/>
              <w:rPr>
                <w:rFonts w:cs="Arial"/>
                <w:b/>
              </w:rPr>
            </w:pPr>
            <w:r w:rsidRPr="00C05A82">
              <w:rPr>
                <w:rFonts w:cs="Arial"/>
                <w:b/>
              </w:rPr>
              <w:t>114.200</w:t>
            </w:r>
          </w:p>
        </w:tc>
        <w:tc>
          <w:tcPr>
            <w:tcW w:w="1124" w:type="dxa"/>
            <w:noWrap/>
            <w:vAlign w:val="center"/>
            <w:hideMark/>
          </w:tcPr>
          <w:p w:rsidR="00470902" w:rsidRPr="00C05A82" w:rsidRDefault="00470902" w:rsidP="000F0E5F">
            <w:pPr>
              <w:tabs>
                <w:tab w:val="left" w:pos="567"/>
                <w:tab w:val="left" w:pos="1134"/>
              </w:tabs>
              <w:spacing w:after="0" w:line="360" w:lineRule="auto"/>
              <w:jc w:val="center"/>
              <w:rPr>
                <w:rFonts w:cs="Arial"/>
                <w:b/>
              </w:rPr>
            </w:pPr>
            <w:r w:rsidRPr="00C05A82">
              <w:rPr>
                <w:rFonts w:cs="Arial"/>
                <w:b/>
              </w:rPr>
              <w:t>110.843</w:t>
            </w:r>
          </w:p>
        </w:tc>
        <w:tc>
          <w:tcPr>
            <w:tcW w:w="1124" w:type="dxa"/>
            <w:noWrap/>
            <w:vAlign w:val="center"/>
            <w:hideMark/>
          </w:tcPr>
          <w:p w:rsidR="00470902" w:rsidRPr="00C05A82" w:rsidRDefault="00470902" w:rsidP="000F0E5F">
            <w:pPr>
              <w:tabs>
                <w:tab w:val="left" w:pos="567"/>
                <w:tab w:val="left" w:pos="1134"/>
              </w:tabs>
              <w:spacing w:after="0" w:line="360" w:lineRule="auto"/>
              <w:jc w:val="center"/>
              <w:rPr>
                <w:rFonts w:cs="Arial"/>
                <w:b/>
              </w:rPr>
            </w:pPr>
            <w:r w:rsidRPr="00C05A82">
              <w:rPr>
                <w:rFonts w:cs="Arial"/>
                <w:b/>
              </w:rPr>
              <w:t>103.248</w:t>
            </w:r>
          </w:p>
        </w:tc>
        <w:tc>
          <w:tcPr>
            <w:tcW w:w="1124" w:type="dxa"/>
            <w:noWrap/>
            <w:vAlign w:val="center"/>
            <w:hideMark/>
          </w:tcPr>
          <w:p w:rsidR="00470902" w:rsidRPr="00C05A82" w:rsidRDefault="00470902" w:rsidP="000F0E5F">
            <w:pPr>
              <w:tabs>
                <w:tab w:val="left" w:pos="567"/>
                <w:tab w:val="left" w:pos="1134"/>
              </w:tabs>
              <w:spacing w:after="0" w:line="360" w:lineRule="auto"/>
              <w:jc w:val="center"/>
              <w:rPr>
                <w:rFonts w:cs="Arial"/>
                <w:b/>
              </w:rPr>
            </w:pPr>
            <w:r w:rsidRPr="00C05A82">
              <w:rPr>
                <w:rFonts w:cs="Arial"/>
                <w:b/>
              </w:rPr>
              <w:t>97.030</w:t>
            </w:r>
          </w:p>
        </w:tc>
        <w:tc>
          <w:tcPr>
            <w:tcW w:w="1124" w:type="dxa"/>
            <w:noWrap/>
            <w:vAlign w:val="center"/>
            <w:hideMark/>
          </w:tcPr>
          <w:p w:rsidR="00470902" w:rsidRPr="00C05A82" w:rsidRDefault="00470902" w:rsidP="000F0E5F">
            <w:pPr>
              <w:tabs>
                <w:tab w:val="left" w:pos="567"/>
                <w:tab w:val="left" w:pos="1134"/>
              </w:tabs>
              <w:spacing w:after="0" w:line="360" w:lineRule="auto"/>
              <w:jc w:val="center"/>
              <w:rPr>
                <w:rFonts w:cs="Arial"/>
                <w:b/>
              </w:rPr>
            </w:pPr>
            <w:r w:rsidRPr="00C05A82">
              <w:rPr>
                <w:rFonts w:cs="Arial"/>
                <w:b/>
              </w:rPr>
              <w:t>95.069</w:t>
            </w:r>
          </w:p>
        </w:tc>
      </w:tr>
      <w:tr w:rsidR="00470902" w:rsidRPr="0043096A" w:rsidTr="00470902">
        <w:trPr>
          <w:trHeight w:val="308"/>
        </w:trPr>
        <w:tc>
          <w:tcPr>
            <w:tcW w:w="3539" w:type="dxa"/>
            <w:noWrap/>
            <w:vAlign w:val="center"/>
            <w:hideMark/>
          </w:tcPr>
          <w:p w:rsidR="00470902" w:rsidRPr="0043096A" w:rsidRDefault="00470902" w:rsidP="000F0E5F">
            <w:pPr>
              <w:tabs>
                <w:tab w:val="left" w:pos="567"/>
                <w:tab w:val="left" w:pos="1134"/>
              </w:tabs>
              <w:spacing w:after="0" w:line="360" w:lineRule="auto"/>
              <w:rPr>
                <w:rFonts w:cs="Arial"/>
              </w:rPr>
            </w:pPr>
            <w:r w:rsidRPr="0043096A">
              <w:rPr>
                <w:rFonts w:cs="Arial"/>
              </w:rPr>
              <w:t>% Reduction</w:t>
            </w:r>
          </w:p>
        </w:tc>
        <w:tc>
          <w:tcPr>
            <w:tcW w:w="1124" w:type="dxa"/>
            <w:noWrap/>
            <w:vAlign w:val="center"/>
            <w:hideMark/>
          </w:tcPr>
          <w:p w:rsidR="00470902" w:rsidRPr="0043096A" w:rsidRDefault="00470902" w:rsidP="000F0E5F">
            <w:pPr>
              <w:tabs>
                <w:tab w:val="left" w:pos="567"/>
                <w:tab w:val="left" w:pos="1134"/>
              </w:tabs>
              <w:spacing w:after="0" w:line="360" w:lineRule="auto"/>
              <w:jc w:val="center"/>
              <w:rPr>
                <w:rFonts w:cs="Arial"/>
              </w:rPr>
            </w:pPr>
          </w:p>
        </w:tc>
        <w:tc>
          <w:tcPr>
            <w:tcW w:w="1124" w:type="dxa"/>
            <w:noWrap/>
            <w:vAlign w:val="center"/>
            <w:hideMark/>
          </w:tcPr>
          <w:p w:rsidR="00470902" w:rsidRPr="0043096A" w:rsidRDefault="00470902" w:rsidP="000F0E5F">
            <w:pPr>
              <w:tabs>
                <w:tab w:val="left" w:pos="567"/>
                <w:tab w:val="left" w:pos="1134"/>
              </w:tabs>
              <w:spacing w:after="0" w:line="360" w:lineRule="auto"/>
              <w:jc w:val="center"/>
              <w:rPr>
                <w:rFonts w:cs="Arial"/>
              </w:rPr>
            </w:pPr>
            <w:r w:rsidRPr="0043096A">
              <w:rPr>
                <w:rFonts w:cs="Arial"/>
              </w:rPr>
              <w:t>-2.94</w:t>
            </w:r>
          </w:p>
        </w:tc>
        <w:tc>
          <w:tcPr>
            <w:tcW w:w="1124" w:type="dxa"/>
            <w:noWrap/>
            <w:vAlign w:val="center"/>
            <w:hideMark/>
          </w:tcPr>
          <w:p w:rsidR="00470902" w:rsidRPr="0043096A" w:rsidRDefault="00470902" w:rsidP="000F0E5F">
            <w:pPr>
              <w:tabs>
                <w:tab w:val="left" w:pos="567"/>
                <w:tab w:val="left" w:pos="1134"/>
              </w:tabs>
              <w:spacing w:after="0" w:line="360" w:lineRule="auto"/>
              <w:jc w:val="center"/>
              <w:rPr>
                <w:rFonts w:cs="Arial"/>
              </w:rPr>
            </w:pPr>
            <w:r w:rsidRPr="0043096A">
              <w:rPr>
                <w:rFonts w:cs="Arial"/>
              </w:rPr>
              <w:t>-6.85</w:t>
            </w:r>
          </w:p>
        </w:tc>
        <w:tc>
          <w:tcPr>
            <w:tcW w:w="1124" w:type="dxa"/>
            <w:noWrap/>
            <w:vAlign w:val="center"/>
            <w:hideMark/>
          </w:tcPr>
          <w:p w:rsidR="00470902" w:rsidRPr="0043096A" w:rsidRDefault="00470902" w:rsidP="000F0E5F">
            <w:pPr>
              <w:tabs>
                <w:tab w:val="left" w:pos="567"/>
                <w:tab w:val="left" w:pos="1134"/>
              </w:tabs>
              <w:spacing w:after="0" w:line="360" w:lineRule="auto"/>
              <w:jc w:val="center"/>
              <w:rPr>
                <w:rFonts w:cs="Arial"/>
              </w:rPr>
            </w:pPr>
            <w:r w:rsidRPr="0043096A">
              <w:rPr>
                <w:rFonts w:cs="Arial"/>
              </w:rPr>
              <w:t>-6.02</w:t>
            </w:r>
          </w:p>
        </w:tc>
        <w:tc>
          <w:tcPr>
            <w:tcW w:w="1124" w:type="dxa"/>
            <w:noWrap/>
            <w:vAlign w:val="center"/>
            <w:hideMark/>
          </w:tcPr>
          <w:p w:rsidR="00470902" w:rsidRPr="0043096A" w:rsidRDefault="00470902" w:rsidP="000F0E5F">
            <w:pPr>
              <w:tabs>
                <w:tab w:val="left" w:pos="567"/>
                <w:tab w:val="left" w:pos="1134"/>
              </w:tabs>
              <w:spacing w:after="0" w:line="360" w:lineRule="auto"/>
              <w:jc w:val="center"/>
              <w:rPr>
                <w:rFonts w:cs="Arial"/>
              </w:rPr>
            </w:pPr>
            <w:r w:rsidRPr="0043096A">
              <w:rPr>
                <w:rFonts w:cs="Arial"/>
              </w:rPr>
              <w:t>-2.02</w:t>
            </w:r>
          </w:p>
        </w:tc>
      </w:tr>
    </w:tbl>
    <w:p w:rsidR="00932C3B" w:rsidRDefault="00932C3B" w:rsidP="003D58F1">
      <w:pPr>
        <w:tabs>
          <w:tab w:val="left" w:pos="567"/>
          <w:tab w:val="left" w:pos="1134"/>
        </w:tabs>
        <w:spacing w:after="0"/>
        <w:rPr>
          <w:rFonts w:cs="Arial"/>
        </w:rPr>
      </w:pPr>
    </w:p>
    <w:p w:rsidR="00932C3B" w:rsidRDefault="00932C3B" w:rsidP="003D58F1">
      <w:pPr>
        <w:tabs>
          <w:tab w:val="left" w:pos="567"/>
          <w:tab w:val="left" w:pos="1134"/>
        </w:tabs>
        <w:spacing w:after="0"/>
        <w:rPr>
          <w:rFonts w:cs="Arial"/>
        </w:rPr>
      </w:pPr>
      <w:r w:rsidRPr="0043096A">
        <w:rPr>
          <w:rFonts w:cs="Arial"/>
        </w:rPr>
        <w:t xml:space="preserve">Over the period to 2019/20 this </w:t>
      </w:r>
      <w:r w:rsidR="00470902">
        <w:rPr>
          <w:rFonts w:cs="Arial"/>
        </w:rPr>
        <w:t xml:space="preserve">would </w:t>
      </w:r>
      <w:r w:rsidRPr="0043096A">
        <w:rPr>
          <w:rFonts w:cs="Arial"/>
        </w:rPr>
        <w:t>give an estimated reduction in resources for unprotected departments of 16.8</w:t>
      </w:r>
      <w:r>
        <w:rPr>
          <w:rFonts w:cs="Arial"/>
        </w:rPr>
        <w:t>%.</w:t>
      </w:r>
      <w:r w:rsidR="009A2CC4">
        <w:rPr>
          <w:rFonts w:cs="Arial"/>
        </w:rPr>
        <w:t xml:space="preserve"> </w:t>
      </w:r>
      <w:r w:rsidR="003D3C68">
        <w:rPr>
          <w:rFonts w:cs="Arial"/>
        </w:rPr>
        <w:t xml:space="preserve"> </w:t>
      </w:r>
      <w:r w:rsidR="009A2CC4">
        <w:rPr>
          <w:rFonts w:cs="Arial"/>
        </w:rPr>
        <w:t>This forecast of future DEL reductions offers the best basis for estimating the future reductions to funding for local authorities' funding and has therefore been incorporated into the assumptions made in this report for the future funding available for the council.</w:t>
      </w:r>
    </w:p>
    <w:p w:rsidR="0070208A" w:rsidRDefault="0070208A" w:rsidP="003D58F1">
      <w:pPr>
        <w:tabs>
          <w:tab w:val="left" w:pos="567"/>
          <w:tab w:val="left" w:pos="1134"/>
        </w:tabs>
        <w:spacing w:after="0"/>
        <w:rPr>
          <w:rFonts w:cs="Arial"/>
        </w:rPr>
      </w:pPr>
    </w:p>
    <w:p w:rsidR="0070208A" w:rsidRDefault="0070208A" w:rsidP="003D58F1">
      <w:pPr>
        <w:tabs>
          <w:tab w:val="left" w:pos="567"/>
          <w:tab w:val="left" w:pos="1134"/>
        </w:tabs>
        <w:spacing w:after="0"/>
        <w:rPr>
          <w:rFonts w:cs="Arial"/>
        </w:rPr>
      </w:pPr>
      <w:r>
        <w:rPr>
          <w:rFonts w:cs="Arial"/>
        </w:rPr>
        <w:t xml:space="preserve">This assumption is much lower than the 25% and 40% options requested from spending departments for consideration in the Spending Review 2015, however the Spending review figures include an assumed inflationary increase in resources each years that the </w:t>
      </w:r>
      <w:r w:rsidR="000F0E5F">
        <w:rPr>
          <w:rFonts w:cs="Arial"/>
        </w:rPr>
        <w:t xml:space="preserve">County </w:t>
      </w:r>
      <w:r>
        <w:rPr>
          <w:rFonts w:cs="Arial"/>
        </w:rPr>
        <w:t>Council's MTFS does not.</w:t>
      </w:r>
    </w:p>
    <w:p w:rsidR="00932C3B" w:rsidRPr="0043096A" w:rsidRDefault="00932C3B" w:rsidP="003D58F1">
      <w:pPr>
        <w:tabs>
          <w:tab w:val="left" w:pos="567"/>
          <w:tab w:val="left" w:pos="1134"/>
        </w:tabs>
        <w:spacing w:after="0"/>
        <w:rPr>
          <w:rFonts w:cs="Arial"/>
        </w:rPr>
      </w:pPr>
    </w:p>
    <w:p w:rsidR="00932C3B" w:rsidRDefault="009A2CC4" w:rsidP="003D58F1">
      <w:pPr>
        <w:tabs>
          <w:tab w:val="left" w:pos="567"/>
          <w:tab w:val="left" w:pos="1134"/>
        </w:tabs>
        <w:spacing w:after="0"/>
        <w:rPr>
          <w:rFonts w:cs="Arial"/>
          <w:b/>
        </w:rPr>
      </w:pPr>
      <w:r>
        <w:rPr>
          <w:rFonts w:cs="Arial"/>
          <w:b/>
        </w:rPr>
        <w:t>3.2</w:t>
      </w:r>
      <w:r>
        <w:rPr>
          <w:rFonts w:cs="Arial"/>
          <w:b/>
        </w:rPr>
        <w:tab/>
      </w:r>
      <w:r w:rsidR="00CB1C1E">
        <w:rPr>
          <w:rFonts w:cs="Arial"/>
          <w:b/>
        </w:rPr>
        <w:t>I</w:t>
      </w:r>
      <w:r w:rsidR="00932C3B" w:rsidRPr="0043096A">
        <w:rPr>
          <w:rFonts w:cs="Arial"/>
          <w:b/>
        </w:rPr>
        <w:t>mpact on</w:t>
      </w:r>
      <w:r>
        <w:rPr>
          <w:rFonts w:cs="Arial"/>
          <w:b/>
        </w:rPr>
        <w:t xml:space="preserve"> the</w:t>
      </w:r>
      <w:r w:rsidR="00932C3B" w:rsidRPr="0043096A">
        <w:rPr>
          <w:rFonts w:cs="Arial"/>
          <w:b/>
        </w:rPr>
        <w:t xml:space="preserve"> M</w:t>
      </w:r>
      <w:r w:rsidR="00CB1C1E">
        <w:rPr>
          <w:rFonts w:cs="Arial"/>
          <w:b/>
        </w:rPr>
        <w:t xml:space="preserve">edium </w:t>
      </w:r>
      <w:r w:rsidR="00932C3B" w:rsidRPr="0043096A">
        <w:rPr>
          <w:rFonts w:cs="Arial"/>
          <w:b/>
        </w:rPr>
        <w:t>T</w:t>
      </w:r>
      <w:r w:rsidR="00CB1C1E">
        <w:rPr>
          <w:rFonts w:cs="Arial"/>
          <w:b/>
        </w:rPr>
        <w:t xml:space="preserve">erm </w:t>
      </w:r>
      <w:r w:rsidR="00932C3B" w:rsidRPr="0043096A">
        <w:rPr>
          <w:rFonts w:cs="Arial"/>
          <w:b/>
        </w:rPr>
        <w:t>F</w:t>
      </w:r>
      <w:r w:rsidR="00CB1C1E">
        <w:rPr>
          <w:rFonts w:cs="Arial"/>
          <w:b/>
        </w:rPr>
        <w:t xml:space="preserve">inancial </w:t>
      </w:r>
      <w:r w:rsidR="00932C3B" w:rsidRPr="0043096A">
        <w:rPr>
          <w:rFonts w:cs="Arial"/>
          <w:b/>
        </w:rPr>
        <w:t>S</w:t>
      </w:r>
      <w:r w:rsidR="00CB1C1E">
        <w:rPr>
          <w:rFonts w:cs="Arial"/>
          <w:b/>
        </w:rPr>
        <w:t>trategy</w:t>
      </w:r>
    </w:p>
    <w:p w:rsidR="00932C3B" w:rsidRPr="0043096A" w:rsidRDefault="00932C3B" w:rsidP="003D58F1">
      <w:pPr>
        <w:tabs>
          <w:tab w:val="left" w:pos="567"/>
          <w:tab w:val="left" w:pos="1134"/>
        </w:tabs>
        <w:spacing w:after="0"/>
        <w:rPr>
          <w:rFonts w:cs="Arial"/>
          <w:b/>
        </w:rPr>
      </w:pPr>
    </w:p>
    <w:p w:rsidR="00CB1C1E" w:rsidRDefault="00932C3B" w:rsidP="003D58F1">
      <w:pPr>
        <w:tabs>
          <w:tab w:val="left" w:pos="567"/>
          <w:tab w:val="left" w:pos="1134"/>
        </w:tabs>
        <w:spacing w:after="0"/>
        <w:rPr>
          <w:rFonts w:cs="Arial"/>
        </w:rPr>
      </w:pPr>
      <w:r w:rsidRPr="0043096A">
        <w:rPr>
          <w:rFonts w:cs="Arial"/>
        </w:rPr>
        <w:t xml:space="preserve">The County Council's </w:t>
      </w:r>
      <w:r w:rsidR="009A2CC4">
        <w:rPr>
          <w:rFonts w:cs="Arial"/>
        </w:rPr>
        <w:t xml:space="preserve">previously reported </w:t>
      </w:r>
      <w:r w:rsidRPr="0043096A">
        <w:rPr>
          <w:rFonts w:cs="Arial"/>
        </w:rPr>
        <w:t xml:space="preserve">MTFS assumes a 7% reduction in </w:t>
      </w:r>
      <w:r w:rsidR="00CB1C1E">
        <w:rPr>
          <w:rFonts w:cs="Arial"/>
        </w:rPr>
        <w:t>government funding in</w:t>
      </w:r>
      <w:r w:rsidRPr="0043096A">
        <w:rPr>
          <w:rFonts w:cs="Arial"/>
        </w:rPr>
        <w:t xml:space="preserve"> both 2016/17 and 2017/18</w:t>
      </w:r>
      <w:r w:rsidR="00052490">
        <w:rPr>
          <w:rFonts w:cs="Arial"/>
        </w:rPr>
        <w:t xml:space="preserve"> and reductions of 6% in 2</w:t>
      </w:r>
      <w:r w:rsidR="00B57C56">
        <w:rPr>
          <w:rFonts w:cs="Arial"/>
        </w:rPr>
        <w:t>0</w:t>
      </w:r>
      <w:r w:rsidR="00052490">
        <w:rPr>
          <w:rFonts w:cs="Arial"/>
        </w:rPr>
        <w:t>18/19 and 2% in 2019/20</w:t>
      </w:r>
      <w:r w:rsidRPr="0043096A">
        <w:rPr>
          <w:rFonts w:cs="Arial"/>
        </w:rPr>
        <w:t xml:space="preserve">.  </w:t>
      </w:r>
      <w:r w:rsidR="00052490">
        <w:rPr>
          <w:rFonts w:cs="Arial"/>
        </w:rPr>
        <w:t>T</w:t>
      </w:r>
      <w:r w:rsidR="00CB1C1E">
        <w:rPr>
          <w:rFonts w:cs="Arial"/>
        </w:rPr>
        <w:t xml:space="preserve">his seems consistent with the analysis above for </w:t>
      </w:r>
      <w:r w:rsidR="00052490">
        <w:rPr>
          <w:rFonts w:cs="Arial"/>
        </w:rPr>
        <w:t xml:space="preserve">all years except </w:t>
      </w:r>
      <w:r w:rsidR="00CB1C1E">
        <w:rPr>
          <w:rFonts w:cs="Arial"/>
        </w:rPr>
        <w:t>201</w:t>
      </w:r>
      <w:r w:rsidR="00052490">
        <w:rPr>
          <w:rFonts w:cs="Arial"/>
        </w:rPr>
        <w:t>6</w:t>
      </w:r>
      <w:r w:rsidR="00CB1C1E">
        <w:rPr>
          <w:rFonts w:cs="Arial"/>
        </w:rPr>
        <w:t>/1</w:t>
      </w:r>
      <w:r w:rsidR="009C183C">
        <w:rPr>
          <w:rFonts w:cs="Arial"/>
        </w:rPr>
        <w:t>7</w:t>
      </w:r>
      <w:r w:rsidR="00052490">
        <w:rPr>
          <w:rFonts w:cs="Arial"/>
        </w:rPr>
        <w:t xml:space="preserve"> where a higher reduction </w:t>
      </w:r>
      <w:r w:rsidR="00B57C56">
        <w:rPr>
          <w:rFonts w:cs="Arial"/>
        </w:rPr>
        <w:t>ha</w:t>
      </w:r>
      <w:r w:rsidR="00052490">
        <w:rPr>
          <w:rFonts w:cs="Arial"/>
        </w:rPr>
        <w:t>s</w:t>
      </w:r>
      <w:r w:rsidR="00B57C56">
        <w:rPr>
          <w:rFonts w:cs="Arial"/>
        </w:rPr>
        <w:t xml:space="preserve"> been</w:t>
      </w:r>
      <w:r w:rsidR="00052490">
        <w:rPr>
          <w:rFonts w:cs="Arial"/>
        </w:rPr>
        <w:t xml:space="preserve"> assumed</w:t>
      </w:r>
      <w:r w:rsidR="009C183C">
        <w:rPr>
          <w:rFonts w:cs="Arial"/>
        </w:rPr>
        <w:t>.</w:t>
      </w:r>
    </w:p>
    <w:p w:rsidR="003D3C68" w:rsidRDefault="003D3C68" w:rsidP="003D58F1">
      <w:pPr>
        <w:tabs>
          <w:tab w:val="left" w:pos="567"/>
          <w:tab w:val="left" w:pos="1134"/>
        </w:tabs>
        <w:spacing w:after="0"/>
        <w:rPr>
          <w:rFonts w:cs="Arial"/>
        </w:rPr>
      </w:pPr>
    </w:p>
    <w:p w:rsidR="003D3C68" w:rsidRDefault="00CB1C1E" w:rsidP="003D58F1">
      <w:pPr>
        <w:tabs>
          <w:tab w:val="left" w:pos="567"/>
          <w:tab w:val="left" w:pos="1134"/>
        </w:tabs>
        <w:spacing w:after="0"/>
        <w:rPr>
          <w:rFonts w:cs="Arial"/>
        </w:rPr>
      </w:pPr>
      <w:r>
        <w:rPr>
          <w:rFonts w:cs="Arial"/>
        </w:rPr>
        <w:t xml:space="preserve">However, analysis and commentary across the Local Government sector since the </w:t>
      </w:r>
      <w:r w:rsidR="009A2CC4">
        <w:rPr>
          <w:rFonts w:cs="Arial"/>
        </w:rPr>
        <w:t xml:space="preserve">Chancellor's </w:t>
      </w:r>
      <w:r>
        <w:rPr>
          <w:rFonts w:cs="Arial"/>
        </w:rPr>
        <w:t>budget report</w:t>
      </w:r>
      <w:r w:rsidR="009A2CC4">
        <w:rPr>
          <w:rFonts w:cs="Arial"/>
        </w:rPr>
        <w:t xml:space="preserve"> on 8</w:t>
      </w:r>
      <w:r w:rsidR="009A2CC4" w:rsidRPr="009A2CC4">
        <w:rPr>
          <w:rFonts w:cs="Arial"/>
          <w:vertAlign w:val="superscript"/>
        </w:rPr>
        <w:t>th</w:t>
      </w:r>
      <w:r w:rsidR="009A2CC4">
        <w:rPr>
          <w:rFonts w:cs="Arial"/>
        </w:rPr>
        <w:t xml:space="preserve"> July </w:t>
      </w:r>
      <w:r w:rsidR="00C4517D">
        <w:rPr>
          <w:rFonts w:cs="Arial"/>
        </w:rPr>
        <w:t xml:space="preserve">2015 </w:t>
      </w:r>
      <w:r>
        <w:rPr>
          <w:rFonts w:cs="Arial"/>
        </w:rPr>
        <w:t xml:space="preserve">has consistently asserted that </w:t>
      </w:r>
      <w:r w:rsidR="009A2CC4">
        <w:rPr>
          <w:rFonts w:cs="Arial"/>
        </w:rPr>
        <w:t xml:space="preserve">the </w:t>
      </w:r>
      <w:r>
        <w:rPr>
          <w:rFonts w:cs="Arial"/>
        </w:rPr>
        <w:t xml:space="preserve">Local Government </w:t>
      </w:r>
      <w:r w:rsidR="009A2CC4">
        <w:rPr>
          <w:rFonts w:cs="Arial"/>
        </w:rPr>
        <w:t xml:space="preserve">sector </w:t>
      </w:r>
      <w:r>
        <w:rPr>
          <w:rFonts w:cs="Arial"/>
        </w:rPr>
        <w:t>will have a larger reduction in funding in 2016/17 than other non-protected services.</w:t>
      </w:r>
      <w:r w:rsidR="000E7CA1">
        <w:rPr>
          <w:rFonts w:cs="Arial"/>
        </w:rPr>
        <w:t xml:space="preserve">  </w:t>
      </w:r>
      <w:r w:rsidR="00B57C56">
        <w:rPr>
          <w:rFonts w:cs="Arial"/>
        </w:rPr>
        <w:t xml:space="preserve">It </w:t>
      </w:r>
      <w:r w:rsidR="009C183C">
        <w:rPr>
          <w:rFonts w:cs="Arial"/>
        </w:rPr>
        <w:t>was therefore deemed prudent to forecast</w:t>
      </w:r>
      <w:r w:rsidR="00B57C56">
        <w:rPr>
          <w:rFonts w:cs="Arial"/>
        </w:rPr>
        <w:t xml:space="preserve"> a 7% reduction to government funding in both 2016/17 and 2017/18</w:t>
      </w:r>
      <w:r w:rsidR="009C183C">
        <w:rPr>
          <w:rFonts w:cs="Arial"/>
        </w:rPr>
        <w:t>.</w:t>
      </w:r>
    </w:p>
    <w:p w:rsidR="00122E8D" w:rsidRDefault="00122E8D" w:rsidP="003D58F1">
      <w:pPr>
        <w:tabs>
          <w:tab w:val="left" w:pos="567"/>
          <w:tab w:val="left" w:pos="1134"/>
        </w:tabs>
        <w:spacing w:after="0"/>
        <w:rPr>
          <w:rFonts w:cs="Arial"/>
        </w:rPr>
      </w:pPr>
    </w:p>
    <w:p w:rsidR="00CB1C1E" w:rsidRDefault="00CB1C1E" w:rsidP="003D58F1">
      <w:pPr>
        <w:tabs>
          <w:tab w:val="left" w:pos="567"/>
          <w:tab w:val="left" w:pos="1134"/>
        </w:tabs>
        <w:spacing w:after="0"/>
        <w:rPr>
          <w:rFonts w:cs="Arial"/>
        </w:rPr>
      </w:pPr>
      <w:r>
        <w:rPr>
          <w:rFonts w:cs="Arial"/>
        </w:rPr>
        <w:t xml:space="preserve">The implication of the figures provided with the budget report is that reductions to DEL will end in 2019/20 therefore </w:t>
      </w:r>
      <w:r w:rsidR="000E7CA1">
        <w:rPr>
          <w:rFonts w:cs="Arial"/>
        </w:rPr>
        <w:t xml:space="preserve">it </w:t>
      </w:r>
      <w:r>
        <w:rPr>
          <w:rFonts w:cs="Arial"/>
        </w:rPr>
        <w:t>ha</w:t>
      </w:r>
      <w:r w:rsidR="000E7CA1">
        <w:rPr>
          <w:rFonts w:cs="Arial"/>
        </w:rPr>
        <w:t>s been</w:t>
      </w:r>
      <w:r>
        <w:rPr>
          <w:rFonts w:cs="Arial"/>
        </w:rPr>
        <w:t xml:space="preserve"> assumed </w:t>
      </w:r>
      <w:r w:rsidR="000E7CA1">
        <w:rPr>
          <w:rFonts w:cs="Arial"/>
        </w:rPr>
        <w:t xml:space="preserve">there will be </w:t>
      </w:r>
      <w:r>
        <w:rPr>
          <w:rFonts w:cs="Arial"/>
        </w:rPr>
        <w:t>no reduction or increase to funding for 2020/21.</w:t>
      </w:r>
    </w:p>
    <w:p w:rsidR="00D21FDD" w:rsidRDefault="00D21FDD">
      <w:pPr>
        <w:autoSpaceDE/>
        <w:autoSpaceDN/>
        <w:adjustRightInd/>
        <w:spacing w:after="0"/>
        <w:jc w:val="left"/>
        <w:rPr>
          <w:rFonts w:cs="Arial"/>
        </w:rPr>
      </w:pPr>
    </w:p>
    <w:p w:rsidR="00932C3B" w:rsidRDefault="00FE09B4" w:rsidP="003D58F1">
      <w:pPr>
        <w:tabs>
          <w:tab w:val="left" w:pos="567"/>
          <w:tab w:val="left" w:pos="1134"/>
        </w:tabs>
        <w:spacing w:after="0"/>
        <w:rPr>
          <w:rFonts w:cs="Arial"/>
        </w:rPr>
      </w:pPr>
      <w:r>
        <w:rPr>
          <w:rFonts w:cs="Arial"/>
        </w:rPr>
        <w:t>These assumptions provide the following forecast of resources available to the council</w:t>
      </w:r>
      <w:r w:rsidR="000E7CA1">
        <w:rPr>
          <w:rFonts w:cs="Arial"/>
        </w:rPr>
        <w:t xml:space="preserve"> and as no further information is available</w:t>
      </w:r>
      <w:r w:rsidR="009C183C">
        <w:rPr>
          <w:rFonts w:cs="Arial"/>
        </w:rPr>
        <w:t>,</w:t>
      </w:r>
      <w:r w:rsidR="000E7CA1">
        <w:rPr>
          <w:rFonts w:cs="Arial"/>
        </w:rPr>
        <w:t xml:space="preserve"> there is no change</w:t>
      </w:r>
      <w:r w:rsidR="009C183C">
        <w:rPr>
          <w:rFonts w:cs="Arial"/>
        </w:rPr>
        <w:t xml:space="preserve"> </w:t>
      </w:r>
      <w:r w:rsidR="00B6681B">
        <w:rPr>
          <w:rFonts w:cs="Arial"/>
        </w:rPr>
        <w:t xml:space="preserve">to </w:t>
      </w:r>
      <w:r w:rsidR="009C183C">
        <w:rPr>
          <w:rFonts w:cs="Arial"/>
        </w:rPr>
        <w:t>the MTFS</w:t>
      </w:r>
      <w:r w:rsidR="00C4517D">
        <w:rPr>
          <w:rFonts w:cs="Arial"/>
        </w:rPr>
        <w:t xml:space="preserve"> on the estimated level of resources as</w:t>
      </w:r>
      <w:r w:rsidR="009C183C">
        <w:rPr>
          <w:rFonts w:cs="Arial"/>
        </w:rPr>
        <w:t xml:space="preserve"> reported in August</w:t>
      </w:r>
      <w:r>
        <w:rPr>
          <w:rFonts w:cs="Arial"/>
        </w:rPr>
        <w:t>:</w:t>
      </w:r>
    </w:p>
    <w:p w:rsidR="00FE09B4" w:rsidRPr="0043096A" w:rsidRDefault="00FE09B4" w:rsidP="003D58F1">
      <w:pPr>
        <w:tabs>
          <w:tab w:val="left" w:pos="567"/>
          <w:tab w:val="left" w:pos="1134"/>
        </w:tabs>
        <w:spacing w:after="0"/>
        <w:rPr>
          <w:rFonts w:cs="Arial"/>
        </w:rPr>
      </w:pPr>
    </w:p>
    <w:tbl>
      <w:tblPr>
        <w:tblStyle w:val="TableGrid"/>
        <w:tblW w:w="9073" w:type="dxa"/>
        <w:tblLook w:val="04A0" w:firstRow="1" w:lastRow="0" w:firstColumn="1" w:lastColumn="0" w:noHBand="0" w:noVBand="1"/>
      </w:tblPr>
      <w:tblGrid>
        <w:gridCol w:w="1781"/>
        <w:gridCol w:w="1488"/>
        <w:gridCol w:w="1501"/>
        <w:gridCol w:w="1459"/>
        <w:gridCol w:w="1422"/>
        <w:gridCol w:w="1422"/>
      </w:tblGrid>
      <w:tr w:rsidR="00122E8D" w:rsidRPr="0043096A" w:rsidTr="00122E8D">
        <w:trPr>
          <w:trHeight w:val="275"/>
        </w:trPr>
        <w:tc>
          <w:tcPr>
            <w:tcW w:w="1781" w:type="dxa"/>
            <w:vMerge w:val="restart"/>
            <w:shd w:val="clear" w:color="auto" w:fill="D9D9D9" w:themeFill="background1" w:themeFillShade="D9"/>
            <w:vAlign w:val="center"/>
          </w:tcPr>
          <w:p w:rsidR="00122E8D" w:rsidRPr="0043096A" w:rsidRDefault="00122E8D" w:rsidP="003D58F1">
            <w:pPr>
              <w:tabs>
                <w:tab w:val="left" w:pos="567"/>
                <w:tab w:val="left" w:pos="1134"/>
              </w:tabs>
              <w:spacing w:after="0"/>
              <w:jc w:val="left"/>
              <w:rPr>
                <w:rFonts w:cs="Arial"/>
                <w:b/>
              </w:rPr>
            </w:pPr>
          </w:p>
        </w:tc>
        <w:tc>
          <w:tcPr>
            <w:tcW w:w="1488" w:type="dxa"/>
            <w:tcBorders>
              <w:bottom w:val="nil"/>
            </w:tcBorders>
            <w:shd w:val="clear" w:color="auto" w:fill="D9D9D9" w:themeFill="background1" w:themeFillShade="D9"/>
          </w:tcPr>
          <w:p w:rsidR="00122E8D" w:rsidRPr="0043096A" w:rsidRDefault="00122E8D" w:rsidP="003D58F1">
            <w:pPr>
              <w:tabs>
                <w:tab w:val="left" w:pos="567"/>
                <w:tab w:val="left" w:pos="1134"/>
              </w:tabs>
              <w:spacing w:after="0"/>
              <w:jc w:val="center"/>
              <w:rPr>
                <w:rFonts w:cs="Arial"/>
                <w:b/>
              </w:rPr>
            </w:pPr>
            <w:r w:rsidRPr="0043096A">
              <w:rPr>
                <w:rFonts w:cs="Arial"/>
                <w:b/>
              </w:rPr>
              <w:t>2016/17</w:t>
            </w:r>
          </w:p>
        </w:tc>
        <w:tc>
          <w:tcPr>
            <w:tcW w:w="1501" w:type="dxa"/>
            <w:tcBorders>
              <w:bottom w:val="nil"/>
            </w:tcBorders>
            <w:shd w:val="clear" w:color="auto" w:fill="D9D9D9" w:themeFill="background1" w:themeFillShade="D9"/>
          </w:tcPr>
          <w:p w:rsidR="00122E8D" w:rsidRPr="0043096A" w:rsidRDefault="00122E8D" w:rsidP="003D58F1">
            <w:pPr>
              <w:tabs>
                <w:tab w:val="left" w:pos="567"/>
                <w:tab w:val="left" w:pos="1134"/>
              </w:tabs>
              <w:spacing w:after="0"/>
              <w:jc w:val="center"/>
              <w:rPr>
                <w:rFonts w:cs="Arial"/>
                <w:b/>
              </w:rPr>
            </w:pPr>
            <w:r w:rsidRPr="0043096A">
              <w:rPr>
                <w:rFonts w:cs="Arial"/>
                <w:b/>
              </w:rPr>
              <w:t>2017/18</w:t>
            </w:r>
          </w:p>
        </w:tc>
        <w:tc>
          <w:tcPr>
            <w:tcW w:w="1459" w:type="dxa"/>
            <w:tcBorders>
              <w:bottom w:val="nil"/>
            </w:tcBorders>
            <w:shd w:val="clear" w:color="auto" w:fill="D9D9D9" w:themeFill="background1" w:themeFillShade="D9"/>
          </w:tcPr>
          <w:p w:rsidR="00122E8D" w:rsidRPr="00FE09B4" w:rsidRDefault="00122E8D" w:rsidP="003D58F1">
            <w:pPr>
              <w:tabs>
                <w:tab w:val="left" w:pos="567"/>
                <w:tab w:val="left" w:pos="1134"/>
              </w:tabs>
              <w:spacing w:after="0"/>
              <w:jc w:val="center"/>
              <w:rPr>
                <w:rFonts w:cs="Arial"/>
                <w:b/>
              </w:rPr>
            </w:pPr>
            <w:r w:rsidRPr="00FE09B4">
              <w:rPr>
                <w:rFonts w:cs="Arial"/>
                <w:b/>
              </w:rPr>
              <w:t>2018/19</w:t>
            </w:r>
          </w:p>
        </w:tc>
        <w:tc>
          <w:tcPr>
            <w:tcW w:w="1422" w:type="dxa"/>
            <w:tcBorders>
              <w:bottom w:val="nil"/>
            </w:tcBorders>
            <w:shd w:val="clear" w:color="auto" w:fill="D9D9D9" w:themeFill="background1" w:themeFillShade="D9"/>
          </w:tcPr>
          <w:p w:rsidR="00122E8D" w:rsidRPr="00FE09B4" w:rsidRDefault="00122E8D" w:rsidP="003D58F1">
            <w:pPr>
              <w:tabs>
                <w:tab w:val="left" w:pos="567"/>
                <w:tab w:val="left" w:pos="1134"/>
              </w:tabs>
              <w:spacing w:after="0"/>
              <w:jc w:val="center"/>
              <w:rPr>
                <w:rFonts w:cs="Arial"/>
                <w:b/>
              </w:rPr>
            </w:pPr>
            <w:r w:rsidRPr="00FE09B4">
              <w:rPr>
                <w:rFonts w:cs="Arial"/>
                <w:b/>
              </w:rPr>
              <w:t>2019/20</w:t>
            </w:r>
          </w:p>
        </w:tc>
        <w:tc>
          <w:tcPr>
            <w:tcW w:w="1422" w:type="dxa"/>
            <w:tcBorders>
              <w:bottom w:val="nil"/>
            </w:tcBorders>
            <w:shd w:val="clear" w:color="auto" w:fill="D9D9D9" w:themeFill="background1" w:themeFillShade="D9"/>
          </w:tcPr>
          <w:p w:rsidR="00122E8D" w:rsidRPr="00FE09B4" w:rsidRDefault="00122E8D" w:rsidP="003D58F1">
            <w:pPr>
              <w:tabs>
                <w:tab w:val="left" w:pos="567"/>
                <w:tab w:val="left" w:pos="1134"/>
              </w:tabs>
              <w:spacing w:after="0"/>
              <w:jc w:val="center"/>
              <w:rPr>
                <w:rFonts w:cs="Arial"/>
                <w:b/>
              </w:rPr>
            </w:pPr>
            <w:r w:rsidRPr="00FE09B4">
              <w:rPr>
                <w:rFonts w:cs="Arial"/>
                <w:b/>
              </w:rPr>
              <w:t>2020/21</w:t>
            </w:r>
          </w:p>
        </w:tc>
      </w:tr>
      <w:tr w:rsidR="00122E8D" w:rsidRPr="0043096A" w:rsidTr="00122E8D">
        <w:trPr>
          <w:trHeight w:val="291"/>
        </w:trPr>
        <w:tc>
          <w:tcPr>
            <w:tcW w:w="1781" w:type="dxa"/>
            <w:vMerge/>
          </w:tcPr>
          <w:p w:rsidR="00122E8D" w:rsidRPr="0043096A" w:rsidRDefault="00122E8D" w:rsidP="003D58F1">
            <w:pPr>
              <w:tabs>
                <w:tab w:val="left" w:pos="567"/>
                <w:tab w:val="left" w:pos="1134"/>
              </w:tabs>
              <w:spacing w:after="0"/>
              <w:jc w:val="left"/>
              <w:rPr>
                <w:rFonts w:cs="Arial"/>
                <w:b/>
              </w:rPr>
            </w:pPr>
          </w:p>
        </w:tc>
        <w:tc>
          <w:tcPr>
            <w:tcW w:w="1488" w:type="dxa"/>
            <w:tcBorders>
              <w:top w:val="nil"/>
            </w:tcBorders>
            <w:shd w:val="clear" w:color="auto" w:fill="D9D9D9" w:themeFill="background1" w:themeFillShade="D9"/>
          </w:tcPr>
          <w:p w:rsidR="00122E8D" w:rsidRPr="0043096A" w:rsidRDefault="00122E8D" w:rsidP="003D58F1">
            <w:pPr>
              <w:tabs>
                <w:tab w:val="left" w:pos="567"/>
                <w:tab w:val="left" w:pos="1134"/>
              </w:tabs>
              <w:spacing w:after="0"/>
              <w:jc w:val="center"/>
              <w:rPr>
                <w:rFonts w:cs="Arial"/>
                <w:b/>
              </w:rPr>
            </w:pPr>
            <w:r w:rsidRPr="0043096A">
              <w:rPr>
                <w:rFonts w:cs="Arial"/>
                <w:b/>
              </w:rPr>
              <w:t>£m</w:t>
            </w:r>
          </w:p>
        </w:tc>
        <w:tc>
          <w:tcPr>
            <w:tcW w:w="1501" w:type="dxa"/>
            <w:tcBorders>
              <w:top w:val="nil"/>
            </w:tcBorders>
            <w:shd w:val="clear" w:color="auto" w:fill="D9D9D9" w:themeFill="background1" w:themeFillShade="D9"/>
          </w:tcPr>
          <w:p w:rsidR="00122E8D" w:rsidRPr="0043096A" w:rsidRDefault="00122E8D" w:rsidP="003D58F1">
            <w:pPr>
              <w:tabs>
                <w:tab w:val="left" w:pos="567"/>
                <w:tab w:val="left" w:pos="1134"/>
              </w:tabs>
              <w:spacing w:after="0"/>
              <w:jc w:val="center"/>
              <w:rPr>
                <w:rFonts w:cs="Arial"/>
                <w:b/>
              </w:rPr>
            </w:pPr>
            <w:r w:rsidRPr="0043096A">
              <w:rPr>
                <w:rFonts w:cs="Arial"/>
                <w:b/>
              </w:rPr>
              <w:t>£m</w:t>
            </w:r>
          </w:p>
        </w:tc>
        <w:tc>
          <w:tcPr>
            <w:tcW w:w="1459" w:type="dxa"/>
            <w:tcBorders>
              <w:top w:val="nil"/>
            </w:tcBorders>
            <w:shd w:val="clear" w:color="auto" w:fill="D9D9D9" w:themeFill="background1" w:themeFillShade="D9"/>
          </w:tcPr>
          <w:p w:rsidR="00122E8D" w:rsidRPr="00FE09B4" w:rsidRDefault="00122E8D" w:rsidP="003D58F1">
            <w:pPr>
              <w:tabs>
                <w:tab w:val="left" w:pos="567"/>
                <w:tab w:val="left" w:pos="1134"/>
              </w:tabs>
              <w:spacing w:after="0"/>
              <w:jc w:val="center"/>
              <w:rPr>
                <w:rFonts w:cs="Arial"/>
                <w:b/>
              </w:rPr>
            </w:pPr>
            <w:r w:rsidRPr="00FE09B4">
              <w:rPr>
                <w:rFonts w:cs="Arial"/>
                <w:b/>
              </w:rPr>
              <w:t>£m</w:t>
            </w:r>
          </w:p>
        </w:tc>
        <w:tc>
          <w:tcPr>
            <w:tcW w:w="1422" w:type="dxa"/>
            <w:tcBorders>
              <w:top w:val="nil"/>
            </w:tcBorders>
            <w:shd w:val="clear" w:color="auto" w:fill="D9D9D9" w:themeFill="background1" w:themeFillShade="D9"/>
          </w:tcPr>
          <w:p w:rsidR="00122E8D" w:rsidRPr="00FE09B4" w:rsidRDefault="00122E8D" w:rsidP="003D58F1">
            <w:pPr>
              <w:tabs>
                <w:tab w:val="left" w:pos="567"/>
                <w:tab w:val="left" w:pos="1134"/>
              </w:tabs>
              <w:spacing w:after="0"/>
              <w:jc w:val="center"/>
              <w:rPr>
                <w:rFonts w:cs="Arial"/>
                <w:b/>
              </w:rPr>
            </w:pPr>
            <w:r w:rsidRPr="00FE09B4">
              <w:rPr>
                <w:rFonts w:cs="Arial"/>
                <w:b/>
              </w:rPr>
              <w:t>£m</w:t>
            </w:r>
          </w:p>
        </w:tc>
        <w:tc>
          <w:tcPr>
            <w:tcW w:w="1422" w:type="dxa"/>
            <w:tcBorders>
              <w:top w:val="nil"/>
            </w:tcBorders>
            <w:shd w:val="clear" w:color="auto" w:fill="D9D9D9" w:themeFill="background1" w:themeFillShade="D9"/>
          </w:tcPr>
          <w:p w:rsidR="00122E8D" w:rsidRPr="00FE09B4" w:rsidRDefault="00122E8D" w:rsidP="003D58F1">
            <w:pPr>
              <w:tabs>
                <w:tab w:val="left" w:pos="567"/>
                <w:tab w:val="left" w:pos="1134"/>
              </w:tabs>
              <w:spacing w:after="0"/>
              <w:jc w:val="center"/>
              <w:rPr>
                <w:rFonts w:cs="Arial"/>
                <w:b/>
              </w:rPr>
            </w:pPr>
            <w:r w:rsidRPr="00FE09B4">
              <w:rPr>
                <w:rFonts w:cs="Arial"/>
                <w:b/>
              </w:rPr>
              <w:t>£m</w:t>
            </w:r>
          </w:p>
        </w:tc>
      </w:tr>
      <w:tr w:rsidR="00122E8D" w:rsidRPr="0043096A" w:rsidTr="00122E8D">
        <w:trPr>
          <w:trHeight w:val="637"/>
        </w:trPr>
        <w:tc>
          <w:tcPr>
            <w:tcW w:w="1781" w:type="dxa"/>
            <w:vAlign w:val="center"/>
          </w:tcPr>
          <w:p w:rsidR="00122E8D" w:rsidRPr="0043096A" w:rsidRDefault="00122E8D" w:rsidP="003D58F1">
            <w:pPr>
              <w:tabs>
                <w:tab w:val="left" w:pos="567"/>
                <w:tab w:val="left" w:pos="1134"/>
              </w:tabs>
              <w:spacing w:after="0"/>
              <w:jc w:val="left"/>
              <w:rPr>
                <w:rFonts w:cs="Arial"/>
              </w:rPr>
            </w:pPr>
            <w:r w:rsidRPr="00FE09B4">
              <w:rPr>
                <w:rFonts w:cs="Arial"/>
              </w:rPr>
              <w:t>Level of resources</w:t>
            </w:r>
          </w:p>
        </w:tc>
        <w:tc>
          <w:tcPr>
            <w:tcW w:w="1488" w:type="dxa"/>
            <w:vAlign w:val="center"/>
          </w:tcPr>
          <w:p w:rsidR="00122E8D" w:rsidRPr="0043096A" w:rsidRDefault="00122E8D" w:rsidP="003D58F1">
            <w:pPr>
              <w:tabs>
                <w:tab w:val="left" w:pos="567"/>
                <w:tab w:val="left" w:pos="1134"/>
              </w:tabs>
              <w:spacing w:after="0"/>
              <w:jc w:val="center"/>
              <w:rPr>
                <w:rFonts w:cs="Arial"/>
              </w:rPr>
            </w:pPr>
            <w:r>
              <w:rPr>
                <w:rFonts w:cs="Arial"/>
              </w:rPr>
              <w:t>705.034</w:t>
            </w:r>
          </w:p>
        </w:tc>
        <w:tc>
          <w:tcPr>
            <w:tcW w:w="1501" w:type="dxa"/>
            <w:vAlign w:val="center"/>
          </w:tcPr>
          <w:p w:rsidR="00122E8D" w:rsidRPr="0043096A" w:rsidRDefault="00122E8D" w:rsidP="003D58F1">
            <w:pPr>
              <w:tabs>
                <w:tab w:val="left" w:pos="567"/>
                <w:tab w:val="left" w:pos="1134"/>
              </w:tabs>
              <w:spacing w:after="0"/>
              <w:jc w:val="center"/>
              <w:rPr>
                <w:rFonts w:cs="Arial"/>
              </w:rPr>
            </w:pPr>
            <w:r>
              <w:rPr>
                <w:rFonts w:cs="Arial"/>
              </w:rPr>
              <w:t>684.221</w:t>
            </w:r>
          </w:p>
        </w:tc>
        <w:tc>
          <w:tcPr>
            <w:tcW w:w="1459" w:type="dxa"/>
            <w:vAlign w:val="center"/>
          </w:tcPr>
          <w:p w:rsidR="00122E8D" w:rsidRPr="004052D8" w:rsidRDefault="00122E8D" w:rsidP="003D58F1">
            <w:pPr>
              <w:tabs>
                <w:tab w:val="left" w:pos="567"/>
                <w:tab w:val="left" w:pos="1134"/>
              </w:tabs>
              <w:spacing w:after="0"/>
              <w:jc w:val="center"/>
              <w:rPr>
                <w:rFonts w:cs="Arial"/>
              </w:rPr>
            </w:pPr>
            <w:r w:rsidRPr="004052D8">
              <w:rPr>
                <w:rFonts w:cs="Arial"/>
              </w:rPr>
              <w:t>668.977</w:t>
            </w:r>
          </w:p>
        </w:tc>
        <w:tc>
          <w:tcPr>
            <w:tcW w:w="1422" w:type="dxa"/>
            <w:vAlign w:val="center"/>
          </w:tcPr>
          <w:p w:rsidR="00122E8D" w:rsidRPr="004052D8" w:rsidRDefault="00122E8D" w:rsidP="003D58F1">
            <w:pPr>
              <w:tabs>
                <w:tab w:val="left" w:pos="567"/>
                <w:tab w:val="left" w:pos="1134"/>
              </w:tabs>
              <w:spacing w:after="0"/>
              <w:jc w:val="center"/>
              <w:rPr>
                <w:rFonts w:cs="Arial"/>
              </w:rPr>
            </w:pPr>
            <w:r w:rsidRPr="004052D8">
              <w:rPr>
                <w:rFonts w:cs="Arial"/>
              </w:rPr>
              <w:t>663.781</w:t>
            </w:r>
          </w:p>
        </w:tc>
        <w:tc>
          <w:tcPr>
            <w:tcW w:w="1422" w:type="dxa"/>
            <w:vAlign w:val="center"/>
          </w:tcPr>
          <w:p w:rsidR="00122E8D" w:rsidRPr="004052D8" w:rsidRDefault="00122E8D" w:rsidP="003D58F1">
            <w:pPr>
              <w:tabs>
                <w:tab w:val="left" w:pos="567"/>
                <w:tab w:val="left" w:pos="1134"/>
              </w:tabs>
              <w:spacing w:after="0"/>
              <w:jc w:val="center"/>
              <w:rPr>
                <w:rFonts w:cs="Arial"/>
              </w:rPr>
            </w:pPr>
            <w:r w:rsidRPr="004052D8">
              <w:rPr>
                <w:rFonts w:cs="Arial"/>
              </w:rPr>
              <w:t>663.926</w:t>
            </w:r>
          </w:p>
        </w:tc>
      </w:tr>
    </w:tbl>
    <w:p w:rsidR="00814750" w:rsidRDefault="00814750" w:rsidP="003D58F1">
      <w:pPr>
        <w:tabs>
          <w:tab w:val="left" w:pos="567"/>
          <w:tab w:val="left" w:pos="1134"/>
        </w:tabs>
        <w:spacing w:after="0"/>
        <w:rPr>
          <w:rFonts w:cs="Arial"/>
        </w:rPr>
      </w:pPr>
    </w:p>
    <w:p w:rsidR="002E4FB1" w:rsidRPr="000F0E5F" w:rsidRDefault="000F0E5F" w:rsidP="003D58F1">
      <w:pPr>
        <w:tabs>
          <w:tab w:val="left" w:pos="567"/>
          <w:tab w:val="left" w:pos="1134"/>
        </w:tabs>
        <w:spacing w:after="0"/>
        <w:rPr>
          <w:rFonts w:cs="Arial"/>
          <w:b/>
        </w:rPr>
      </w:pPr>
      <w:r w:rsidRPr="000F0E5F">
        <w:rPr>
          <w:rFonts w:cs="Arial"/>
          <w:b/>
        </w:rPr>
        <w:t>3.3 Chancellor of the Exchequer</w:t>
      </w:r>
      <w:r w:rsidR="002E4FB1" w:rsidRPr="000F0E5F">
        <w:rPr>
          <w:rFonts w:cs="Arial"/>
          <w:b/>
        </w:rPr>
        <w:t xml:space="preserve"> announcement on Business Rates and RSG</w:t>
      </w:r>
    </w:p>
    <w:p w:rsidR="002E4FB1" w:rsidRDefault="002E4FB1" w:rsidP="003D58F1">
      <w:pPr>
        <w:tabs>
          <w:tab w:val="left" w:pos="567"/>
          <w:tab w:val="left" w:pos="1134"/>
        </w:tabs>
        <w:spacing w:after="0"/>
        <w:rPr>
          <w:rFonts w:cs="Arial"/>
        </w:rPr>
      </w:pPr>
    </w:p>
    <w:p w:rsidR="002E4FB1" w:rsidRDefault="002E4FB1" w:rsidP="003D58F1">
      <w:pPr>
        <w:tabs>
          <w:tab w:val="left" w:pos="567"/>
          <w:tab w:val="left" w:pos="1134"/>
        </w:tabs>
        <w:spacing w:after="0"/>
        <w:rPr>
          <w:rFonts w:cs="Arial"/>
        </w:rPr>
      </w:pPr>
      <w:r w:rsidRPr="002E4FB1">
        <w:rPr>
          <w:rFonts w:cs="Arial"/>
        </w:rPr>
        <w:t xml:space="preserve">The Chancellor of the Exchequer announced </w:t>
      </w:r>
      <w:r w:rsidR="009B4D52">
        <w:rPr>
          <w:rFonts w:cs="Arial"/>
        </w:rPr>
        <w:t xml:space="preserve">in October </w:t>
      </w:r>
      <w:r w:rsidRPr="002E4FB1">
        <w:rPr>
          <w:rFonts w:cs="Arial"/>
        </w:rPr>
        <w:t xml:space="preserve">that by the end of this </w:t>
      </w:r>
      <w:r w:rsidR="003F3017">
        <w:rPr>
          <w:rFonts w:cs="Arial"/>
        </w:rPr>
        <w:t>P</w:t>
      </w:r>
      <w:r w:rsidRPr="002E4FB1">
        <w:rPr>
          <w:rFonts w:cs="Arial"/>
        </w:rPr>
        <w:t xml:space="preserve">arliament in 2020, </w:t>
      </w:r>
      <w:r w:rsidR="003F3017">
        <w:rPr>
          <w:rFonts w:cs="Arial"/>
        </w:rPr>
        <w:t>L</w:t>
      </w:r>
      <w:r w:rsidRPr="002E4FB1">
        <w:rPr>
          <w:rFonts w:cs="Arial"/>
        </w:rPr>
        <w:t xml:space="preserve">ocal </w:t>
      </w:r>
      <w:r w:rsidR="003F3017">
        <w:rPr>
          <w:rFonts w:cs="Arial"/>
        </w:rPr>
        <w:t>A</w:t>
      </w:r>
      <w:r w:rsidRPr="002E4FB1">
        <w:rPr>
          <w:rFonts w:cs="Arial"/>
        </w:rPr>
        <w:t>uthorities will retain 100% of business rates, "all £26bn will be kept by councils instead of being sent up to Whitehall"</w:t>
      </w:r>
      <w:r>
        <w:rPr>
          <w:rFonts w:cs="Arial"/>
        </w:rPr>
        <w:t xml:space="preserve"> </w:t>
      </w:r>
      <w:r w:rsidR="00122E8D">
        <w:rPr>
          <w:rFonts w:cs="Arial"/>
        </w:rPr>
        <w:t xml:space="preserve">However, it was also announced </w:t>
      </w:r>
      <w:r>
        <w:rPr>
          <w:rFonts w:cs="Arial"/>
        </w:rPr>
        <w:t xml:space="preserve">that the </w:t>
      </w:r>
      <w:r w:rsidR="001C5326">
        <w:rPr>
          <w:rFonts w:cs="Arial"/>
        </w:rPr>
        <w:t>end of this P</w:t>
      </w:r>
      <w:r w:rsidRPr="002E4FB1">
        <w:rPr>
          <w:rFonts w:cs="Arial"/>
        </w:rPr>
        <w:t>arliament will also see an end to the Revenue Support Grant (RSG)</w:t>
      </w:r>
      <w:r w:rsidR="009B4D52">
        <w:rPr>
          <w:rFonts w:cs="Arial"/>
        </w:rPr>
        <w:t>.</w:t>
      </w:r>
    </w:p>
    <w:p w:rsidR="009B4D52" w:rsidRDefault="009B4D52" w:rsidP="003D58F1">
      <w:pPr>
        <w:tabs>
          <w:tab w:val="left" w:pos="567"/>
          <w:tab w:val="left" w:pos="1134"/>
        </w:tabs>
        <w:spacing w:after="0"/>
        <w:rPr>
          <w:rFonts w:cs="Arial"/>
        </w:rPr>
      </w:pPr>
    </w:p>
    <w:p w:rsidR="009B4D52" w:rsidRDefault="009B4D52" w:rsidP="003D58F1">
      <w:pPr>
        <w:tabs>
          <w:tab w:val="left" w:pos="567"/>
          <w:tab w:val="left" w:pos="1134"/>
        </w:tabs>
        <w:spacing w:after="0"/>
        <w:rPr>
          <w:rFonts w:cs="Arial"/>
        </w:rPr>
      </w:pPr>
      <w:r>
        <w:rPr>
          <w:rFonts w:cs="Arial"/>
        </w:rPr>
        <w:t>There are various uncertainties about the operation of any new business rate system in terms of redistribution both nationally and between the County Council and the District Council</w:t>
      </w:r>
      <w:r w:rsidR="00C4517D">
        <w:rPr>
          <w:rFonts w:cs="Arial"/>
        </w:rPr>
        <w:t>s</w:t>
      </w:r>
      <w:r>
        <w:rPr>
          <w:rFonts w:cs="Arial"/>
        </w:rPr>
        <w:t xml:space="preserve"> </w:t>
      </w:r>
      <w:r w:rsidR="00843752">
        <w:rPr>
          <w:rFonts w:cs="Arial"/>
        </w:rPr>
        <w:t xml:space="preserve">who collect the business rates; and </w:t>
      </w:r>
      <w:r>
        <w:rPr>
          <w:rFonts w:cs="Arial"/>
        </w:rPr>
        <w:t>the impact on other specific grants or new areas of responsibility. Consequently, at this stage it is assumed that the announcement wil</w:t>
      </w:r>
      <w:r w:rsidR="000F0E5F">
        <w:rPr>
          <w:rFonts w:cs="Arial"/>
        </w:rPr>
        <w:t>l have a neutral impact on the County Council's</w:t>
      </w:r>
      <w:r>
        <w:rPr>
          <w:rFonts w:cs="Arial"/>
        </w:rPr>
        <w:t xml:space="preserve"> resources a</w:t>
      </w:r>
      <w:r w:rsidR="001C5326">
        <w:rPr>
          <w:rFonts w:cs="Arial"/>
        </w:rPr>
        <w:t>nd the MTFS remains unchanged.</w:t>
      </w:r>
    </w:p>
    <w:p w:rsidR="002E4FB1" w:rsidRPr="00147849" w:rsidRDefault="002E4FB1" w:rsidP="003D58F1">
      <w:pPr>
        <w:tabs>
          <w:tab w:val="left" w:pos="567"/>
          <w:tab w:val="left" w:pos="1134"/>
        </w:tabs>
        <w:spacing w:after="0"/>
        <w:rPr>
          <w:rFonts w:cs="Arial"/>
        </w:rPr>
      </w:pPr>
    </w:p>
    <w:p w:rsidR="00932C3B" w:rsidRDefault="00145395" w:rsidP="003D58F1">
      <w:pPr>
        <w:tabs>
          <w:tab w:val="left" w:pos="567"/>
          <w:tab w:val="left" w:pos="1134"/>
        </w:tabs>
        <w:spacing w:after="0"/>
        <w:rPr>
          <w:rFonts w:cs="Arial"/>
          <w:b/>
        </w:rPr>
      </w:pPr>
      <w:r>
        <w:rPr>
          <w:rFonts w:cs="Arial"/>
          <w:b/>
        </w:rPr>
        <w:t>4</w:t>
      </w:r>
      <w:r w:rsidR="00932C3B">
        <w:rPr>
          <w:rFonts w:cs="Arial"/>
          <w:b/>
        </w:rPr>
        <w:t>.</w:t>
      </w:r>
      <w:r w:rsidR="00932C3B">
        <w:rPr>
          <w:rFonts w:cs="Arial"/>
          <w:b/>
        </w:rPr>
        <w:tab/>
      </w:r>
      <w:r w:rsidR="00C7650B">
        <w:rPr>
          <w:rFonts w:cs="Arial"/>
          <w:b/>
        </w:rPr>
        <w:t xml:space="preserve">Net </w:t>
      </w:r>
      <w:r w:rsidR="00932C3B" w:rsidRPr="00F41E2E">
        <w:rPr>
          <w:rFonts w:cs="Arial"/>
          <w:b/>
        </w:rPr>
        <w:t>Spending Pressures</w:t>
      </w:r>
    </w:p>
    <w:p w:rsidR="00932C3B" w:rsidRPr="00F41E2E" w:rsidRDefault="00932C3B" w:rsidP="003D58F1">
      <w:pPr>
        <w:tabs>
          <w:tab w:val="left" w:pos="567"/>
          <w:tab w:val="left" w:pos="1134"/>
        </w:tabs>
        <w:spacing w:after="0"/>
        <w:rPr>
          <w:rFonts w:cs="Arial"/>
          <w:b/>
        </w:rPr>
      </w:pPr>
    </w:p>
    <w:p w:rsidR="00932C3B" w:rsidRDefault="00932C3B" w:rsidP="003D58F1">
      <w:pPr>
        <w:tabs>
          <w:tab w:val="left" w:pos="567"/>
          <w:tab w:val="left" w:pos="1134"/>
        </w:tabs>
        <w:spacing w:after="0"/>
        <w:rPr>
          <w:rFonts w:cs="Arial"/>
        </w:rPr>
      </w:pPr>
      <w:r>
        <w:rPr>
          <w:rFonts w:cs="Arial"/>
        </w:rPr>
        <w:t xml:space="preserve">The </w:t>
      </w:r>
      <w:r w:rsidR="00C05A82">
        <w:rPr>
          <w:rFonts w:cs="Arial"/>
        </w:rPr>
        <w:t xml:space="preserve">MTFS </w:t>
      </w:r>
      <w:r w:rsidR="007A796C">
        <w:rPr>
          <w:rFonts w:cs="Arial"/>
        </w:rPr>
        <w:t xml:space="preserve">covers </w:t>
      </w:r>
      <w:r>
        <w:rPr>
          <w:rFonts w:cs="Arial"/>
        </w:rPr>
        <w:t xml:space="preserve">spending pressures </w:t>
      </w:r>
      <w:r w:rsidR="00C05A82">
        <w:rPr>
          <w:rFonts w:cs="Arial"/>
        </w:rPr>
        <w:t>including</w:t>
      </w:r>
      <w:r>
        <w:rPr>
          <w:rFonts w:cs="Arial"/>
        </w:rPr>
        <w:t xml:space="preserve"> pay increases, </w:t>
      </w:r>
      <w:r w:rsidR="00C05A82">
        <w:rPr>
          <w:rFonts w:cs="Arial"/>
        </w:rPr>
        <w:t xml:space="preserve">contractual </w:t>
      </w:r>
      <w:r>
        <w:rPr>
          <w:rFonts w:cs="Arial"/>
        </w:rPr>
        <w:t>inflation, increased demand for services and the impact of</w:t>
      </w:r>
      <w:r w:rsidR="00C05A82">
        <w:rPr>
          <w:rFonts w:cs="Arial"/>
        </w:rPr>
        <w:t xml:space="preserve"> previously agreed savings measures that are </w:t>
      </w:r>
      <w:r w:rsidR="007A796C">
        <w:rPr>
          <w:rFonts w:cs="Arial"/>
        </w:rPr>
        <w:t xml:space="preserve">either </w:t>
      </w:r>
      <w:r w:rsidR="00C05A82">
        <w:rPr>
          <w:rFonts w:cs="Arial"/>
        </w:rPr>
        <w:t>no longer</w:t>
      </w:r>
      <w:r>
        <w:rPr>
          <w:rFonts w:cs="Arial"/>
        </w:rPr>
        <w:t xml:space="preserve"> achievable</w:t>
      </w:r>
      <w:r w:rsidR="007A796C">
        <w:rPr>
          <w:rFonts w:cs="Arial"/>
        </w:rPr>
        <w:t xml:space="preserve"> at all or not to the scale</w:t>
      </w:r>
      <w:r w:rsidR="00DD534F">
        <w:rPr>
          <w:rFonts w:cs="Arial"/>
        </w:rPr>
        <w:t xml:space="preserve"> or in the timeframes</w:t>
      </w:r>
      <w:r w:rsidR="007A796C">
        <w:rPr>
          <w:rFonts w:cs="Arial"/>
        </w:rPr>
        <w:t xml:space="preserve"> originally planned</w:t>
      </w:r>
      <w:r>
        <w:rPr>
          <w:rFonts w:cs="Arial"/>
        </w:rPr>
        <w:t>.</w:t>
      </w:r>
    </w:p>
    <w:p w:rsidR="003D3C68" w:rsidRDefault="003D3C68">
      <w:pPr>
        <w:autoSpaceDE/>
        <w:autoSpaceDN/>
        <w:adjustRightInd/>
        <w:spacing w:after="0"/>
        <w:jc w:val="left"/>
        <w:rPr>
          <w:rFonts w:cs="Arial"/>
          <w:b/>
        </w:rPr>
      </w:pPr>
    </w:p>
    <w:p w:rsidR="00932C3B" w:rsidRDefault="00145395" w:rsidP="003D58F1">
      <w:pPr>
        <w:tabs>
          <w:tab w:val="left" w:pos="567"/>
          <w:tab w:val="left" w:pos="1134"/>
        </w:tabs>
        <w:spacing w:after="0"/>
        <w:rPr>
          <w:rFonts w:cs="Arial"/>
          <w:b/>
        </w:rPr>
      </w:pPr>
      <w:r w:rsidRPr="00145395">
        <w:rPr>
          <w:rFonts w:cs="Arial"/>
          <w:b/>
        </w:rPr>
        <w:t>4.1</w:t>
      </w:r>
      <w:r w:rsidRPr="00145395">
        <w:rPr>
          <w:rFonts w:cs="Arial"/>
          <w:b/>
        </w:rPr>
        <w:tab/>
      </w:r>
      <w:r w:rsidR="00932C3B" w:rsidRPr="00145395">
        <w:rPr>
          <w:rFonts w:cs="Arial"/>
          <w:b/>
        </w:rPr>
        <w:t>Pay</w:t>
      </w:r>
    </w:p>
    <w:p w:rsidR="003D3C68" w:rsidRPr="00145395" w:rsidRDefault="003D3C68" w:rsidP="003D58F1">
      <w:pPr>
        <w:tabs>
          <w:tab w:val="left" w:pos="567"/>
          <w:tab w:val="left" w:pos="1134"/>
        </w:tabs>
        <w:spacing w:after="0"/>
        <w:rPr>
          <w:rFonts w:cs="Arial"/>
          <w:b/>
        </w:rPr>
      </w:pPr>
    </w:p>
    <w:p w:rsidR="006B42B3" w:rsidRDefault="002928DB" w:rsidP="003D58F1">
      <w:pPr>
        <w:tabs>
          <w:tab w:val="left" w:pos="567"/>
          <w:tab w:val="left" w:pos="1134"/>
        </w:tabs>
        <w:spacing w:after="0"/>
        <w:rPr>
          <w:rFonts w:cs="Arial"/>
        </w:rPr>
      </w:pPr>
      <w:r>
        <w:rPr>
          <w:rFonts w:cs="Arial"/>
        </w:rPr>
        <w:t>In the</w:t>
      </w:r>
      <w:r w:rsidR="006A449F">
        <w:rPr>
          <w:rFonts w:cs="Arial"/>
        </w:rPr>
        <w:t xml:space="preserve"> July</w:t>
      </w:r>
      <w:r>
        <w:rPr>
          <w:rFonts w:cs="Arial"/>
        </w:rPr>
        <w:t xml:space="preserve"> Budget t</w:t>
      </w:r>
      <w:r w:rsidR="00932C3B" w:rsidRPr="0043096A">
        <w:rPr>
          <w:rFonts w:cs="Arial"/>
        </w:rPr>
        <w:t>he Chancellor announced a 4 year restriction on public sector pay increases at 1% per year</w:t>
      </w:r>
      <w:r w:rsidR="008226A3">
        <w:rPr>
          <w:rFonts w:cs="Arial"/>
        </w:rPr>
        <w:t>.</w:t>
      </w:r>
      <w:r w:rsidR="006839B7">
        <w:rPr>
          <w:rFonts w:cs="Arial"/>
        </w:rPr>
        <w:t xml:space="preserve"> </w:t>
      </w:r>
      <w:r w:rsidR="008226A3">
        <w:rPr>
          <w:rFonts w:cs="Arial"/>
        </w:rPr>
        <w:t>Using this</w:t>
      </w:r>
      <w:r w:rsidR="00932C3B" w:rsidRPr="0043096A">
        <w:rPr>
          <w:rFonts w:cs="Arial"/>
        </w:rPr>
        <w:t xml:space="preserve"> as a guide</w:t>
      </w:r>
      <w:r w:rsidR="008226A3">
        <w:rPr>
          <w:rFonts w:cs="Arial"/>
        </w:rPr>
        <w:t xml:space="preserve"> the MTFS has included an assumed pay award of 1% for each of the years</w:t>
      </w:r>
      <w:r w:rsidR="006B42B3">
        <w:rPr>
          <w:rFonts w:cs="Arial"/>
        </w:rPr>
        <w:t xml:space="preserve"> with the cost shown below. This assumption is unchanged since August.</w:t>
      </w:r>
      <w:r w:rsidR="008226A3">
        <w:rPr>
          <w:rFonts w:cs="Arial"/>
        </w:rPr>
        <w:t xml:space="preserve"> </w:t>
      </w:r>
    </w:p>
    <w:p w:rsidR="000E333A" w:rsidRDefault="000E333A" w:rsidP="003D58F1">
      <w:pPr>
        <w:tabs>
          <w:tab w:val="left" w:pos="567"/>
          <w:tab w:val="left" w:pos="1134"/>
        </w:tabs>
        <w:spacing w:after="0"/>
        <w:rPr>
          <w:rFonts w:cs="Arial"/>
        </w:rPr>
      </w:pPr>
    </w:p>
    <w:p w:rsidR="00843752" w:rsidRDefault="00DD534F" w:rsidP="00843752">
      <w:pPr>
        <w:tabs>
          <w:tab w:val="left" w:pos="567"/>
          <w:tab w:val="left" w:pos="1134"/>
        </w:tabs>
        <w:spacing w:after="0"/>
        <w:rPr>
          <w:rFonts w:cs="Arial"/>
        </w:rPr>
      </w:pPr>
      <w:r>
        <w:rPr>
          <w:rFonts w:cs="Arial"/>
        </w:rPr>
        <w:t>However, a</w:t>
      </w:r>
      <w:r w:rsidR="00843752">
        <w:rPr>
          <w:rFonts w:cs="Arial"/>
        </w:rPr>
        <w:t xml:space="preserve"> recent court case has concluded that holiday pay for those who work regular overtime should be based on overall pay, including overtime, and not just basic pay. To accommodate this change £0.6</w:t>
      </w:r>
      <w:r w:rsidR="00E01C66">
        <w:rPr>
          <w:rFonts w:cs="Arial"/>
        </w:rPr>
        <w:t>48</w:t>
      </w:r>
      <w:r w:rsidR="00843752">
        <w:rPr>
          <w:rFonts w:cs="Arial"/>
        </w:rPr>
        <w:t xml:space="preserve">m </w:t>
      </w:r>
      <w:r>
        <w:rPr>
          <w:rFonts w:cs="Arial"/>
        </w:rPr>
        <w:t xml:space="preserve">relating to affected staff </w:t>
      </w:r>
      <w:r w:rsidR="00843752">
        <w:rPr>
          <w:rFonts w:cs="Arial"/>
        </w:rPr>
        <w:t xml:space="preserve">has been included as a </w:t>
      </w:r>
      <w:r w:rsidR="00C4517D">
        <w:rPr>
          <w:rFonts w:cs="Arial"/>
        </w:rPr>
        <w:t xml:space="preserve">new </w:t>
      </w:r>
      <w:r w:rsidR="00843752">
        <w:rPr>
          <w:rFonts w:cs="Arial"/>
        </w:rPr>
        <w:t>recurrent cost pressure.</w:t>
      </w:r>
    </w:p>
    <w:p w:rsidR="001C5326" w:rsidRDefault="001C5326">
      <w:pPr>
        <w:autoSpaceDE/>
        <w:autoSpaceDN/>
        <w:adjustRightInd/>
        <w:spacing w:after="0"/>
        <w:jc w:val="left"/>
        <w:rPr>
          <w:rFonts w:cs="Arial"/>
        </w:rPr>
      </w:pPr>
    </w:p>
    <w:p w:rsidR="001C5326" w:rsidRDefault="001C5326">
      <w:pPr>
        <w:autoSpaceDE/>
        <w:autoSpaceDN/>
        <w:adjustRightInd/>
        <w:spacing w:after="0"/>
        <w:jc w:val="left"/>
        <w:rPr>
          <w:rFonts w:cs="Arial"/>
        </w:rPr>
      </w:pPr>
      <w:r>
        <w:rPr>
          <w:rFonts w:cs="Arial"/>
        </w:rPr>
        <w:t>These pressures are summarised in the table below:</w:t>
      </w:r>
    </w:p>
    <w:p w:rsidR="00843752" w:rsidRDefault="00843752" w:rsidP="00843752">
      <w:pPr>
        <w:tabs>
          <w:tab w:val="left" w:pos="567"/>
          <w:tab w:val="left" w:pos="1134"/>
        </w:tabs>
        <w:spacing w:after="0"/>
        <w:rPr>
          <w:rFonts w:cs="Arial"/>
        </w:rPr>
      </w:pPr>
    </w:p>
    <w:tbl>
      <w:tblPr>
        <w:tblStyle w:val="TableGrid8"/>
        <w:tblW w:w="9351" w:type="dxa"/>
        <w:tblLook w:val="04A0" w:firstRow="1" w:lastRow="0" w:firstColumn="1" w:lastColumn="0" w:noHBand="0" w:noVBand="1"/>
      </w:tblPr>
      <w:tblGrid>
        <w:gridCol w:w="2791"/>
        <w:gridCol w:w="1084"/>
        <w:gridCol w:w="1084"/>
        <w:gridCol w:w="1084"/>
        <w:gridCol w:w="1084"/>
        <w:gridCol w:w="1084"/>
        <w:gridCol w:w="1140"/>
      </w:tblGrid>
      <w:tr w:rsidR="006B42B3" w:rsidRPr="006B42B3" w:rsidTr="00A850B0">
        <w:trPr>
          <w:trHeight w:val="236"/>
        </w:trPr>
        <w:tc>
          <w:tcPr>
            <w:tcW w:w="0" w:type="auto"/>
            <w:shd w:val="clear" w:color="auto" w:fill="D9D9D9" w:themeFill="background1" w:themeFillShade="D9"/>
          </w:tcPr>
          <w:p w:rsidR="006B42B3" w:rsidRPr="006B42B3" w:rsidRDefault="006B42B3" w:rsidP="006B42B3">
            <w:pPr>
              <w:tabs>
                <w:tab w:val="left" w:pos="567"/>
                <w:tab w:val="left" w:pos="1134"/>
              </w:tabs>
              <w:spacing w:after="0"/>
              <w:rPr>
                <w:rFonts w:cs="Arial"/>
              </w:rPr>
            </w:pPr>
          </w:p>
        </w:tc>
        <w:tc>
          <w:tcPr>
            <w:tcW w:w="0" w:type="auto"/>
            <w:shd w:val="clear" w:color="auto" w:fill="D9D9D9" w:themeFill="background1" w:themeFillShade="D9"/>
            <w:vAlign w:val="center"/>
          </w:tcPr>
          <w:p w:rsidR="006B42B3" w:rsidRPr="006B42B3" w:rsidRDefault="006B42B3" w:rsidP="006B42B3">
            <w:pPr>
              <w:tabs>
                <w:tab w:val="left" w:pos="567"/>
                <w:tab w:val="left" w:pos="1134"/>
              </w:tabs>
              <w:spacing w:after="0"/>
              <w:jc w:val="center"/>
              <w:rPr>
                <w:rFonts w:cs="Arial"/>
                <w:b/>
              </w:rPr>
            </w:pPr>
            <w:r w:rsidRPr="006B42B3">
              <w:rPr>
                <w:rFonts w:cs="Arial"/>
                <w:b/>
              </w:rPr>
              <w:t>2016/17</w:t>
            </w:r>
          </w:p>
        </w:tc>
        <w:tc>
          <w:tcPr>
            <w:tcW w:w="0" w:type="auto"/>
            <w:shd w:val="clear" w:color="auto" w:fill="D9D9D9" w:themeFill="background1" w:themeFillShade="D9"/>
            <w:vAlign w:val="center"/>
          </w:tcPr>
          <w:p w:rsidR="006B42B3" w:rsidRPr="006B42B3" w:rsidRDefault="006B42B3" w:rsidP="006B42B3">
            <w:pPr>
              <w:tabs>
                <w:tab w:val="left" w:pos="567"/>
                <w:tab w:val="left" w:pos="1134"/>
              </w:tabs>
              <w:spacing w:after="0"/>
              <w:jc w:val="center"/>
              <w:rPr>
                <w:rFonts w:cs="Arial"/>
                <w:b/>
              </w:rPr>
            </w:pPr>
            <w:r w:rsidRPr="006B42B3">
              <w:rPr>
                <w:rFonts w:cs="Arial"/>
                <w:b/>
              </w:rPr>
              <w:t>2017/18</w:t>
            </w:r>
          </w:p>
        </w:tc>
        <w:tc>
          <w:tcPr>
            <w:tcW w:w="0" w:type="auto"/>
            <w:shd w:val="clear" w:color="auto" w:fill="D9D9D9" w:themeFill="background1" w:themeFillShade="D9"/>
            <w:vAlign w:val="center"/>
          </w:tcPr>
          <w:p w:rsidR="006B42B3" w:rsidRPr="006B42B3" w:rsidRDefault="006B42B3" w:rsidP="006B42B3">
            <w:pPr>
              <w:tabs>
                <w:tab w:val="left" w:pos="567"/>
                <w:tab w:val="left" w:pos="1134"/>
              </w:tabs>
              <w:spacing w:after="0"/>
              <w:jc w:val="center"/>
              <w:rPr>
                <w:rFonts w:cs="Arial"/>
                <w:b/>
              </w:rPr>
            </w:pPr>
            <w:r w:rsidRPr="006B42B3">
              <w:rPr>
                <w:rFonts w:cs="Arial"/>
                <w:b/>
              </w:rPr>
              <w:t>2018/19</w:t>
            </w:r>
          </w:p>
        </w:tc>
        <w:tc>
          <w:tcPr>
            <w:tcW w:w="0" w:type="auto"/>
            <w:shd w:val="clear" w:color="auto" w:fill="D9D9D9" w:themeFill="background1" w:themeFillShade="D9"/>
            <w:vAlign w:val="center"/>
          </w:tcPr>
          <w:p w:rsidR="006B42B3" w:rsidRPr="006B42B3" w:rsidRDefault="006B42B3" w:rsidP="006B42B3">
            <w:pPr>
              <w:tabs>
                <w:tab w:val="left" w:pos="567"/>
                <w:tab w:val="left" w:pos="1134"/>
              </w:tabs>
              <w:spacing w:after="0"/>
              <w:jc w:val="center"/>
              <w:rPr>
                <w:rFonts w:cs="Arial"/>
                <w:b/>
              </w:rPr>
            </w:pPr>
            <w:r w:rsidRPr="006B42B3">
              <w:rPr>
                <w:rFonts w:cs="Arial"/>
                <w:b/>
              </w:rPr>
              <w:t>2019/20</w:t>
            </w:r>
          </w:p>
        </w:tc>
        <w:tc>
          <w:tcPr>
            <w:tcW w:w="0" w:type="auto"/>
            <w:shd w:val="clear" w:color="auto" w:fill="D9D9D9" w:themeFill="background1" w:themeFillShade="D9"/>
            <w:vAlign w:val="center"/>
          </w:tcPr>
          <w:p w:rsidR="006B42B3" w:rsidRPr="006B42B3" w:rsidRDefault="006B42B3" w:rsidP="006B42B3">
            <w:pPr>
              <w:tabs>
                <w:tab w:val="left" w:pos="567"/>
                <w:tab w:val="left" w:pos="1134"/>
              </w:tabs>
              <w:spacing w:after="0"/>
              <w:jc w:val="center"/>
              <w:rPr>
                <w:rFonts w:cs="Arial"/>
                <w:b/>
              </w:rPr>
            </w:pPr>
            <w:r w:rsidRPr="006B42B3">
              <w:rPr>
                <w:rFonts w:cs="Arial"/>
                <w:b/>
              </w:rPr>
              <w:t>2020/21</w:t>
            </w:r>
          </w:p>
        </w:tc>
        <w:tc>
          <w:tcPr>
            <w:tcW w:w="1140" w:type="dxa"/>
            <w:shd w:val="clear" w:color="auto" w:fill="D9D9D9" w:themeFill="background1" w:themeFillShade="D9"/>
            <w:vAlign w:val="center"/>
          </w:tcPr>
          <w:p w:rsidR="006B42B3" w:rsidRPr="006B42B3" w:rsidRDefault="00FA09E3" w:rsidP="006B42B3">
            <w:pPr>
              <w:tabs>
                <w:tab w:val="left" w:pos="567"/>
                <w:tab w:val="left" w:pos="1134"/>
              </w:tabs>
              <w:spacing w:after="0"/>
              <w:jc w:val="center"/>
              <w:rPr>
                <w:rFonts w:cs="Arial"/>
                <w:b/>
              </w:rPr>
            </w:pPr>
            <w:r>
              <w:rPr>
                <w:rFonts w:cs="Arial"/>
                <w:b/>
              </w:rPr>
              <w:t>T</w:t>
            </w:r>
            <w:r w:rsidR="000E333A">
              <w:rPr>
                <w:rFonts w:cs="Arial"/>
                <w:b/>
              </w:rPr>
              <w:t>otal</w:t>
            </w:r>
          </w:p>
        </w:tc>
      </w:tr>
      <w:tr w:rsidR="006B42B3" w:rsidRPr="006B42B3" w:rsidTr="00A850B0">
        <w:tc>
          <w:tcPr>
            <w:tcW w:w="0" w:type="auto"/>
            <w:shd w:val="clear" w:color="auto" w:fill="D9D9D9" w:themeFill="background1" w:themeFillShade="D9"/>
          </w:tcPr>
          <w:p w:rsidR="006B42B3" w:rsidRPr="006B42B3" w:rsidRDefault="006B42B3" w:rsidP="006B42B3">
            <w:pPr>
              <w:tabs>
                <w:tab w:val="left" w:pos="567"/>
                <w:tab w:val="left" w:pos="1134"/>
              </w:tabs>
              <w:spacing w:after="0"/>
              <w:rPr>
                <w:rFonts w:cs="Arial"/>
              </w:rPr>
            </w:pPr>
          </w:p>
        </w:tc>
        <w:tc>
          <w:tcPr>
            <w:tcW w:w="0" w:type="auto"/>
            <w:shd w:val="clear" w:color="auto" w:fill="D9D9D9" w:themeFill="background1" w:themeFillShade="D9"/>
            <w:vAlign w:val="center"/>
          </w:tcPr>
          <w:p w:rsidR="006B42B3" w:rsidRPr="006B42B3" w:rsidRDefault="006B42B3" w:rsidP="006B42B3">
            <w:pPr>
              <w:tabs>
                <w:tab w:val="left" w:pos="567"/>
                <w:tab w:val="left" w:pos="1134"/>
              </w:tabs>
              <w:spacing w:after="0"/>
              <w:jc w:val="center"/>
              <w:rPr>
                <w:rFonts w:cs="Arial"/>
                <w:b/>
              </w:rPr>
            </w:pPr>
            <w:r w:rsidRPr="006B42B3">
              <w:rPr>
                <w:rFonts w:cs="Arial"/>
                <w:b/>
              </w:rPr>
              <w:t>£m</w:t>
            </w:r>
          </w:p>
        </w:tc>
        <w:tc>
          <w:tcPr>
            <w:tcW w:w="0" w:type="auto"/>
            <w:shd w:val="clear" w:color="auto" w:fill="D9D9D9" w:themeFill="background1" w:themeFillShade="D9"/>
            <w:vAlign w:val="center"/>
          </w:tcPr>
          <w:p w:rsidR="006B42B3" w:rsidRPr="006B42B3" w:rsidRDefault="006B42B3" w:rsidP="006B42B3">
            <w:pPr>
              <w:tabs>
                <w:tab w:val="left" w:pos="567"/>
                <w:tab w:val="left" w:pos="1134"/>
              </w:tabs>
              <w:spacing w:after="0"/>
              <w:jc w:val="center"/>
              <w:rPr>
                <w:rFonts w:cs="Arial"/>
                <w:b/>
              </w:rPr>
            </w:pPr>
            <w:r w:rsidRPr="006B42B3">
              <w:rPr>
                <w:rFonts w:cs="Arial"/>
                <w:b/>
              </w:rPr>
              <w:t>£m</w:t>
            </w:r>
          </w:p>
        </w:tc>
        <w:tc>
          <w:tcPr>
            <w:tcW w:w="0" w:type="auto"/>
            <w:shd w:val="clear" w:color="auto" w:fill="D9D9D9" w:themeFill="background1" w:themeFillShade="D9"/>
            <w:vAlign w:val="center"/>
          </w:tcPr>
          <w:p w:rsidR="006B42B3" w:rsidRPr="006B42B3" w:rsidRDefault="006B42B3" w:rsidP="006B42B3">
            <w:pPr>
              <w:tabs>
                <w:tab w:val="left" w:pos="567"/>
                <w:tab w:val="left" w:pos="1134"/>
              </w:tabs>
              <w:spacing w:after="0"/>
              <w:jc w:val="center"/>
              <w:rPr>
                <w:rFonts w:cs="Arial"/>
                <w:b/>
              </w:rPr>
            </w:pPr>
            <w:r w:rsidRPr="006B42B3">
              <w:rPr>
                <w:rFonts w:cs="Arial"/>
                <w:b/>
              </w:rPr>
              <w:t>£m</w:t>
            </w:r>
          </w:p>
        </w:tc>
        <w:tc>
          <w:tcPr>
            <w:tcW w:w="0" w:type="auto"/>
            <w:shd w:val="clear" w:color="auto" w:fill="D9D9D9" w:themeFill="background1" w:themeFillShade="D9"/>
            <w:vAlign w:val="center"/>
          </w:tcPr>
          <w:p w:rsidR="006B42B3" w:rsidRPr="006B42B3" w:rsidRDefault="006B42B3" w:rsidP="006B42B3">
            <w:pPr>
              <w:tabs>
                <w:tab w:val="left" w:pos="567"/>
                <w:tab w:val="left" w:pos="1134"/>
              </w:tabs>
              <w:spacing w:after="0"/>
              <w:jc w:val="center"/>
              <w:rPr>
                <w:rFonts w:cs="Arial"/>
                <w:b/>
              </w:rPr>
            </w:pPr>
            <w:r w:rsidRPr="006B42B3">
              <w:rPr>
                <w:rFonts w:cs="Arial"/>
                <w:b/>
              </w:rPr>
              <w:t>£m</w:t>
            </w:r>
          </w:p>
        </w:tc>
        <w:tc>
          <w:tcPr>
            <w:tcW w:w="0" w:type="auto"/>
            <w:shd w:val="clear" w:color="auto" w:fill="D9D9D9" w:themeFill="background1" w:themeFillShade="D9"/>
            <w:vAlign w:val="center"/>
          </w:tcPr>
          <w:p w:rsidR="006B42B3" w:rsidRPr="006B42B3" w:rsidRDefault="006B42B3" w:rsidP="006B42B3">
            <w:pPr>
              <w:tabs>
                <w:tab w:val="left" w:pos="567"/>
                <w:tab w:val="left" w:pos="1134"/>
              </w:tabs>
              <w:spacing w:after="0"/>
              <w:jc w:val="center"/>
              <w:rPr>
                <w:rFonts w:cs="Arial"/>
                <w:b/>
              </w:rPr>
            </w:pPr>
            <w:r w:rsidRPr="006B42B3">
              <w:rPr>
                <w:rFonts w:cs="Arial"/>
                <w:b/>
              </w:rPr>
              <w:t>£m</w:t>
            </w:r>
          </w:p>
        </w:tc>
        <w:tc>
          <w:tcPr>
            <w:tcW w:w="1140" w:type="dxa"/>
            <w:shd w:val="clear" w:color="auto" w:fill="D9D9D9" w:themeFill="background1" w:themeFillShade="D9"/>
            <w:vAlign w:val="center"/>
          </w:tcPr>
          <w:p w:rsidR="006B42B3" w:rsidRPr="006B42B3" w:rsidRDefault="000E333A" w:rsidP="006B42B3">
            <w:pPr>
              <w:tabs>
                <w:tab w:val="left" w:pos="567"/>
                <w:tab w:val="left" w:pos="1134"/>
              </w:tabs>
              <w:spacing w:after="0"/>
              <w:jc w:val="center"/>
              <w:rPr>
                <w:rFonts w:cs="Arial"/>
                <w:b/>
              </w:rPr>
            </w:pPr>
            <w:r>
              <w:rPr>
                <w:rFonts w:cs="Arial"/>
                <w:b/>
              </w:rPr>
              <w:t>£m</w:t>
            </w:r>
          </w:p>
        </w:tc>
      </w:tr>
      <w:tr w:rsidR="006B42B3" w:rsidRPr="006B42B3" w:rsidTr="00A850B0">
        <w:trPr>
          <w:trHeight w:val="372"/>
        </w:trPr>
        <w:tc>
          <w:tcPr>
            <w:tcW w:w="0" w:type="auto"/>
            <w:vAlign w:val="center"/>
          </w:tcPr>
          <w:p w:rsidR="006B42B3" w:rsidRPr="006B42B3" w:rsidRDefault="006B42B3" w:rsidP="006B42B3">
            <w:pPr>
              <w:tabs>
                <w:tab w:val="left" w:pos="567"/>
                <w:tab w:val="left" w:pos="1134"/>
              </w:tabs>
              <w:spacing w:after="0"/>
              <w:jc w:val="left"/>
              <w:rPr>
                <w:rFonts w:cs="Arial"/>
              </w:rPr>
            </w:pPr>
            <w:r w:rsidRPr="006B42B3">
              <w:rPr>
                <w:rFonts w:cs="Arial"/>
              </w:rPr>
              <w:t>Impact of 1% pay award</w:t>
            </w:r>
          </w:p>
        </w:tc>
        <w:tc>
          <w:tcPr>
            <w:tcW w:w="0" w:type="auto"/>
            <w:vAlign w:val="center"/>
          </w:tcPr>
          <w:p w:rsidR="006B42B3" w:rsidRPr="006B42B3" w:rsidRDefault="0047302F" w:rsidP="006B42B3">
            <w:pPr>
              <w:tabs>
                <w:tab w:val="left" w:pos="567"/>
                <w:tab w:val="left" w:pos="1134"/>
              </w:tabs>
              <w:spacing w:after="0"/>
              <w:jc w:val="center"/>
              <w:rPr>
                <w:rFonts w:cs="Arial"/>
              </w:rPr>
            </w:pPr>
            <w:r>
              <w:rPr>
                <w:rFonts w:cs="Arial"/>
              </w:rPr>
              <w:t>2.3</w:t>
            </w:r>
          </w:p>
        </w:tc>
        <w:tc>
          <w:tcPr>
            <w:tcW w:w="0" w:type="auto"/>
            <w:vAlign w:val="center"/>
          </w:tcPr>
          <w:p w:rsidR="006B42B3" w:rsidRPr="006B42B3" w:rsidRDefault="0047302F" w:rsidP="006B42B3">
            <w:pPr>
              <w:tabs>
                <w:tab w:val="left" w:pos="567"/>
                <w:tab w:val="left" w:pos="1134"/>
              </w:tabs>
              <w:spacing w:after="0"/>
              <w:jc w:val="center"/>
              <w:rPr>
                <w:rFonts w:cs="Arial"/>
              </w:rPr>
            </w:pPr>
            <w:r>
              <w:rPr>
                <w:rFonts w:cs="Arial"/>
              </w:rPr>
              <w:t>2.3</w:t>
            </w:r>
          </w:p>
        </w:tc>
        <w:tc>
          <w:tcPr>
            <w:tcW w:w="0" w:type="auto"/>
            <w:vAlign w:val="center"/>
          </w:tcPr>
          <w:p w:rsidR="006B42B3" w:rsidRPr="006B42B3" w:rsidRDefault="0047302F" w:rsidP="006B42B3">
            <w:pPr>
              <w:tabs>
                <w:tab w:val="left" w:pos="567"/>
                <w:tab w:val="left" w:pos="1134"/>
              </w:tabs>
              <w:spacing w:after="0"/>
              <w:jc w:val="center"/>
              <w:rPr>
                <w:rFonts w:cs="Arial"/>
              </w:rPr>
            </w:pPr>
            <w:r>
              <w:rPr>
                <w:rFonts w:cs="Arial"/>
              </w:rPr>
              <w:t>2.4</w:t>
            </w:r>
          </w:p>
        </w:tc>
        <w:tc>
          <w:tcPr>
            <w:tcW w:w="0" w:type="auto"/>
            <w:vAlign w:val="center"/>
          </w:tcPr>
          <w:p w:rsidR="006B42B3" w:rsidRPr="006B42B3" w:rsidRDefault="0047302F" w:rsidP="006B42B3">
            <w:pPr>
              <w:tabs>
                <w:tab w:val="left" w:pos="567"/>
                <w:tab w:val="left" w:pos="1134"/>
              </w:tabs>
              <w:spacing w:after="0"/>
              <w:jc w:val="center"/>
              <w:rPr>
                <w:rFonts w:cs="Arial"/>
              </w:rPr>
            </w:pPr>
            <w:r>
              <w:rPr>
                <w:rFonts w:cs="Arial"/>
              </w:rPr>
              <w:t>2.4</w:t>
            </w:r>
          </w:p>
        </w:tc>
        <w:tc>
          <w:tcPr>
            <w:tcW w:w="0" w:type="auto"/>
            <w:vAlign w:val="center"/>
          </w:tcPr>
          <w:p w:rsidR="006B42B3" w:rsidRPr="006B42B3" w:rsidRDefault="006B42B3" w:rsidP="006B42B3">
            <w:pPr>
              <w:tabs>
                <w:tab w:val="left" w:pos="567"/>
                <w:tab w:val="left" w:pos="1134"/>
              </w:tabs>
              <w:spacing w:after="0"/>
              <w:jc w:val="center"/>
              <w:rPr>
                <w:rFonts w:cs="Arial"/>
              </w:rPr>
            </w:pPr>
            <w:r w:rsidRPr="006B42B3">
              <w:rPr>
                <w:rFonts w:cs="Arial"/>
              </w:rPr>
              <w:t>2.4</w:t>
            </w:r>
          </w:p>
        </w:tc>
        <w:tc>
          <w:tcPr>
            <w:tcW w:w="1140" w:type="dxa"/>
            <w:vAlign w:val="center"/>
          </w:tcPr>
          <w:p w:rsidR="006B42B3" w:rsidRPr="006B42B3" w:rsidRDefault="0047302F" w:rsidP="006B42B3">
            <w:pPr>
              <w:tabs>
                <w:tab w:val="left" w:pos="567"/>
                <w:tab w:val="left" w:pos="1134"/>
              </w:tabs>
              <w:spacing w:after="0"/>
              <w:jc w:val="center"/>
              <w:rPr>
                <w:rFonts w:cs="Arial"/>
              </w:rPr>
            </w:pPr>
            <w:r>
              <w:rPr>
                <w:rFonts w:cs="Arial"/>
              </w:rPr>
              <w:t>11.8</w:t>
            </w:r>
          </w:p>
        </w:tc>
      </w:tr>
      <w:tr w:rsidR="000E333A" w:rsidRPr="006B42B3" w:rsidTr="00A850B0">
        <w:trPr>
          <w:trHeight w:val="372"/>
        </w:trPr>
        <w:tc>
          <w:tcPr>
            <w:tcW w:w="0" w:type="auto"/>
            <w:vAlign w:val="center"/>
          </w:tcPr>
          <w:p w:rsidR="000E333A" w:rsidRPr="006B42B3" w:rsidRDefault="000E333A" w:rsidP="006B42B3">
            <w:pPr>
              <w:tabs>
                <w:tab w:val="left" w:pos="567"/>
                <w:tab w:val="left" w:pos="1134"/>
              </w:tabs>
              <w:spacing w:after="0"/>
              <w:jc w:val="left"/>
              <w:rPr>
                <w:rFonts w:cs="Arial"/>
              </w:rPr>
            </w:pPr>
            <w:r>
              <w:rPr>
                <w:rFonts w:cs="Arial"/>
              </w:rPr>
              <w:t>Holiday pay costs</w:t>
            </w:r>
          </w:p>
        </w:tc>
        <w:tc>
          <w:tcPr>
            <w:tcW w:w="0" w:type="auto"/>
            <w:vAlign w:val="center"/>
          </w:tcPr>
          <w:p w:rsidR="000E333A" w:rsidRDefault="000E333A" w:rsidP="006B42B3">
            <w:pPr>
              <w:tabs>
                <w:tab w:val="left" w:pos="567"/>
                <w:tab w:val="left" w:pos="1134"/>
              </w:tabs>
              <w:spacing w:after="0"/>
              <w:jc w:val="center"/>
              <w:rPr>
                <w:rFonts w:cs="Arial"/>
              </w:rPr>
            </w:pPr>
            <w:r>
              <w:rPr>
                <w:rFonts w:cs="Arial"/>
              </w:rPr>
              <w:t>0.7</w:t>
            </w:r>
          </w:p>
        </w:tc>
        <w:tc>
          <w:tcPr>
            <w:tcW w:w="0" w:type="auto"/>
            <w:vAlign w:val="center"/>
          </w:tcPr>
          <w:p w:rsidR="000E333A" w:rsidRDefault="000E333A" w:rsidP="006B42B3">
            <w:pPr>
              <w:tabs>
                <w:tab w:val="left" w:pos="567"/>
                <w:tab w:val="left" w:pos="1134"/>
              </w:tabs>
              <w:spacing w:after="0"/>
              <w:jc w:val="center"/>
              <w:rPr>
                <w:rFonts w:cs="Arial"/>
              </w:rPr>
            </w:pPr>
          </w:p>
        </w:tc>
        <w:tc>
          <w:tcPr>
            <w:tcW w:w="0" w:type="auto"/>
            <w:vAlign w:val="center"/>
          </w:tcPr>
          <w:p w:rsidR="000E333A" w:rsidRPr="006B42B3" w:rsidRDefault="000E333A" w:rsidP="006B42B3">
            <w:pPr>
              <w:tabs>
                <w:tab w:val="left" w:pos="567"/>
                <w:tab w:val="left" w:pos="1134"/>
              </w:tabs>
              <w:spacing w:after="0"/>
              <w:jc w:val="center"/>
              <w:rPr>
                <w:rFonts w:cs="Arial"/>
              </w:rPr>
            </w:pPr>
          </w:p>
        </w:tc>
        <w:tc>
          <w:tcPr>
            <w:tcW w:w="0" w:type="auto"/>
            <w:vAlign w:val="center"/>
          </w:tcPr>
          <w:p w:rsidR="000E333A" w:rsidRPr="006B42B3" w:rsidRDefault="000E333A" w:rsidP="006B42B3">
            <w:pPr>
              <w:tabs>
                <w:tab w:val="left" w:pos="567"/>
                <w:tab w:val="left" w:pos="1134"/>
              </w:tabs>
              <w:spacing w:after="0"/>
              <w:jc w:val="center"/>
              <w:rPr>
                <w:rFonts w:cs="Arial"/>
              </w:rPr>
            </w:pPr>
          </w:p>
        </w:tc>
        <w:tc>
          <w:tcPr>
            <w:tcW w:w="0" w:type="auto"/>
            <w:vAlign w:val="center"/>
          </w:tcPr>
          <w:p w:rsidR="000E333A" w:rsidRPr="006B42B3" w:rsidRDefault="000E333A" w:rsidP="006B42B3">
            <w:pPr>
              <w:tabs>
                <w:tab w:val="left" w:pos="567"/>
                <w:tab w:val="left" w:pos="1134"/>
              </w:tabs>
              <w:spacing w:after="0"/>
              <w:jc w:val="center"/>
              <w:rPr>
                <w:rFonts w:cs="Arial"/>
              </w:rPr>
            </w:pPr>
          </w:p>
        </w:tc>
        <w:tc>
          <w:tcPr>
            <w:tcW w:w="1140" w:type="dxa"/>
            <w:vAlign w:val="center"/>
          </w:tcPr>
          <w:p w:rsidR="000E333A" w:rsidRDefault="000E333A" w:rsidP="006B42B3">
            <w:pPr>
              <w:tabs>
                <w:tab w:val="left" w:pos="567"/>
                <w:tab w:val="left" w:pos="1134"/>
              </w:tabs>
              <w:spacing w:after="0"/>
              <w:jc w:val="center"/>
              <w:rPr>
                <w:rFonts w:cs="Arial"/>
              </w:rPr>
            </w:pPr>
            <w:r>
              <w:rPr>
                <w:rFonts w:cs="Arial"/>
              </w:rPr>
              <w:t>0.7</w:t>
            </w:r>
          </w:p>
        </w:tc>
      </w:tr>
    </w:tbl>
    <w:p w:rsidR="006B42B3" w:rsidRPr="006B42B3" w:rsidRDefault="006B42B3" w:rsidP="006B42B3">
      <w:pPr>
        <w:tabs>
          <w:tab w:val="left" w:pos="567"/>
          <w:tab w:val="left" w:pos="1134"/>
        </w:tabs>
        <w:spacing w:after="0"/>
        <w:rPr>
          <w:rFonts w:cs="Arial"/>
        </w:rPr>
      </w:pPr>
    </w:p>
    <w:p w:rsidR="00932C3B" w:rsidRDefault="001F25A1" w:rsidP="003D58F1">
      <w:pPr>
        <w:tabs>
          <w:tab w:val="left" w:pos="567"/>
          <w:tab w:val="left" w:pos="1134"/>
        </w:tabs>
        <w:spacing w:after="0"/>
        <w:rPr>
          <w:rFonts w:cs="Arial"/>
        </w:rPr>
      </w:pPr>
      <w:r>
        <w:rPr>
          <w:rFonts w:cs="Arial"/>
        </w:rPr>
        <w:t>The C</w:t>
      </w:r>
      <w:r w:rsidR="00932C3B" w:rsidRPr="0043096A">
        <w:rPr>
          <w:rFonts w:cs="Arial"/>
        </w:rPr>
        <w:t>hancellor also announced increases to the minimum wage for people aged over 25</w:t>
      </w:r>
      <w:r w:rsidR="00932C3B">
        <w:rPr>
          <w:rFonts w:cs="Arial"/>
        </w:rPr>
        <w:t xml:space="preserve">, </w:t>
      </w:r>
      <w:r w:rsidR="008A1F5D">
        <w:rPr>
          <w:rFonts w:cs="Arial"/>
        </w:rPr>
        <w:t>referred to</w:t>
      </w:r>
      <w:r w:rsidR="00932C3B">
        <w:rPr>
          <w:rFonts w:cs="Arial"/>
        </w:rPr>
        <w:t xml:space="preserve"> as the </w:t>
      </w:r>
      <w:r w:rsidR="008A1F5D">
        <w:rPr>
          <w:rFonts w:cs="Arial"/>
        </w:rPr>
        <w:t>'</w:t>
      </w:r>
      <w:r w:rsidR="00932C3B">
        <w:rPr>
          <w:rFonts w:cs="Arial"/>
        </w:rPr>
        <w:t>National Living W</w:t>
      </w:r>
      <w:r w:rsidR="00932C3B" w:rsidRPr="0043096A">
        <w:rPr>
          <w:rFonts w:cs="Arial"/>
        </w:rPr>
        <w:t>age</w:t>
      </w:r>
      <w:r w:rsidR="008A1F5D">
        <w:rPr>
          <w:rFonts w:cs="Arial"/>
        </w:rPr>
        <w:t>'</w:t>
      </w:r>
      <w:r w:rsidR="00932C3B" w:rsidRPr="0043096A">
        <w:rPr>
          <w:rFonts w:cs="Arial"/>
        </w:rPr>
        <w:t xml:space="preserve">. </w:t>
      </w:r>
      <w:r w:rsidR="00932C3B">
        <w:rPr>
          <w:rFonts w:cs="Arial"/>
        </w:rPr>
        <w:t xml:space="preserve"> </w:t>
      </w:r>
      <w:r w:rsidR="00932C3B" w:rsidRPr="0043096A">
        <w:rPr>
          <w:rFonts w:cs="Arial"/>
        </w:rPr>
        <w:t>This is completely separate to the Living Wage the County Council is committed to</w:t>
      </w:r>
      <w:r w:rsidR="00A71014">
        <w:rPr>
          <w:rFonts w:cs="Arial"/>
        </w:rPr>
        <w:t xml:space="preserve"> paying its employees</w:t>
      </w:r>
      <w:r w:rsidR="00932C3B" w:rsidRPr="0043096A">
        <w:rPr>
          <w:rFonts w:cs="Arial"/>
        </w:rPr>
        <w:t xml:space="preserve"> as an accredited member of the </w:t>
      </w:r>
      <w:r w:rsidR="00932C3B">
        <w:rPr>
          <w:rFonts w:cs="Arial"/>
        </w:rPr>
        <w:t>L</w:t>
      </w:r>
      <w:r w:rsidR="00932C3B" w:rsidRPr="0043096A">
        <w:rPr>
          <w:rFonts w:cs="Arial"/>
        </w:rPr>
        <w:t>iving Wage Foundation</w:t>
      </w:r>
      <w:r w:rsidR="00145395">
        <w:rPr>
          <w:rFonts w:cs="Arial"/>
        </w:rPr>
        <w:t xml:space="preserve"> and has no impact on the pay assumptions made in the MTFS</w:t>
      </w:r>
      <w:r w:rsidR="00843752">
        <w:rPr>
          <w:rFonts w:cs="Arial"/>
        </w:rPr>
        <w:t>. (Also see item 4.3)</w:t>
      </w:r>
      <w:r w:rsidR="00932C3B" w:rsidRPr="0043096A">
        <w:rPr>
          <w:rFonts w:cs="Arial"/>
        </w:rPr>
        <w:t>.</w:t>
      </w:r>
    </w:p>
    <w:p w:rsidR="00843752" w:rsidRDefault="002928DB" w:rsidP="00843752">
      <w:pPr>
        <w:tabs>
          <w:tab w:val="left" w:pos="567"/>
          <w:tab w:val="left" w:pos="1134"/>
        </w:tabs>
        <w:spacing w:after="0"/>
        <w:rPr>
          <w:rFonts w:cs="Arial"/>
        </w:rPr>
      </w:pPr>
      <w:r>
        <w:rPr>
          <w:rFonts w:cs="Arial"/>
        </w:rPr>
        <w:t xml:space="preserve"> </w:t>
      </w:r>
    </w:p>
    <w:p w:rsidR="0013756B" w:rsidRDefault="00145395" w:rsidP="003D58F1">
      <w:pPr>
        <w:spacing w:after="0"/>
        <w:rPr>
          <w:rFonts w:cs="Arial"/>
          <w:b/>
        </w:rPr>
      </w:pPr>
      <w:r w:rsidRPr="00145395">
        <w:rPr>
          <w:rFonts w:cs="Arial"/>
          <w:b/>
        </w:rPr>
        <w:t>4.2</w:t>
      </w:r>
      <w:r w:rsidRPr="00145395">
        <w:rPr>
          <w:rFonts w:cs="Arial"/>
          <w:b/>
        </w:rPr>
        <w:tab/>
      </w:r>
      <w:r w:rsidR="00C15316" w:rsidRPr="00145395">
        <w:rPr>
          <w:rFonts w:cs="Arial"/>
          <w:b/>
        </w:rPr>
        <w:t>Price inflation</w:t>
      </w:r>
    </w:p>
    <w:p w:rsidR="003D3C68" w:rsidRPr="00145395" w:rsidRDefault="003D3C68" w:rsidP="003D58F1">
      <w:pPr>
        <w:spacing w:after="0"/>
        <w:rPr>
          <w:rFonts w:cs="Arial"/>
          <w:b/>
        </w:rPr>
      </w:pPr>
    </w:p>
    <w:p w:rsidR="003D3C68" w:rsidRDefault="00E14D91" w:rsidP="003D58F1">
      <w:pPr>
        <w:spacing w:after="0"/>
        <w:rPr>
          <w:rFonts w:cs="Arial"/>
        </w:rPr>
      </w:pPr>
      <w:r>
        <w:rPr>
          <w:rFonts w:cs="Arial"/>
        </w:rPr>
        <w:t>Whilst c</w:t>
      </w:r>
      <w:r w:rsidR="00C15316" w:rsidRPr="00C15316">
        <w:rPr>
          <w:rFonts w:cs="Arial"/>
        </w:rPr>
        <w:t xml:space="preserve">ontractual price increases </w:t>
      </w:r>
      <w:r>
        <w:rPr>
          <w:rFonts w:cs="Arial"/>
        </w:rPr>
        <w:t xml:space="preserve">represent a significant cost pressure, the assumptions have been reviewed </w:t>
      </w:r>
      <w:r w:rsidR="00145395">
        <w:rPr>
          <w:rFonts w:cs="Arial"/>
        </w:rPr>
        <w:t xml:space="preserve">by services </w:t>
      </w:r>
      <w:r w:rsidR="00C15316" w:rsidRPr="00C15316">
        <w:rPr>
          <w:rFonts w:cs="Arial"/>
        </w:rPr>
        <w:t xml:space="preserve">and </w:t>
      </w:r>
      <w:r>
        <w:rPr>
          <w:rFonts w:cs="Arial"/>
        </w:rPr>
        <w:t xml:space="preserve">a reduction </w:t>
      </w:r>
      <w:r w:rsidRPr="00EF4A1C">
        <w:rPr>
          <w:rFonts w:cs="Arial"/>
        </w:rPr>
        <w:t>of £</w:t>
      </w:r>
      <w:r w:rsidR="00EF4A1C" w:rsidRPr="00EF4A1C">
        <w:rPr>
          <w:rFonts w:cs="Arial"/>
        </w:rPr>
        <w:t>15.4</w:t>
      </w:r>
      <w:r w:rsidRPr="00EF4A1C">
        <w:rPr>
          <w:rFonts w:cs="Arial"/>
        </w:rPr>
        <w:t>m overall</w:t>
      </w:r>
      <w:r>
        <w:rPr>
          <w:rFonts w:cs="Arial"/>
        </w:rPr>
        <w:t xml:space="preserve"> in the </w:t>
      </w:r>
      <w:r w:rsidR="00145395">
        <w:rPr>
          <w:rFonts w:cs="Arial"/>
        </w:rPr>
        <w:t>a</w:t>
      </w:r>
      <w:r w:rsidR="00C15316" w:rsidRPr="00C15316">
        <w:rPr>
          <w:rFonts w:cs="Arial"/>
        </w:rPr>
        <w:t xml:space="preserve">dditional pressure </w:t>
      </w:r>
      <w:r>
        <w:rPr>
          <w:rFonts w:cs="Arial"/>
        </w:rPr>
        <w:t xml:space="preserve">previously reported </w:t>
      </w:r>
      <w:r w:rsidR="00145395">
        <w:rPr>
          <w:rFonts w:cs="Arial"/>
        </w:rPr>
        <w:t>has been identified.</w:t>
      </w:r>
    </w:p>
    <w:p w:rsidR="00814750" w:rsidRDefault="00814750" w:rsidP="003D58F1">
      <w:pPr>
        <w:tabs>
          <w:tab w:val="left" w:pos="567"/>
          <w:tab w:val="left" w:pos="1134"/>
        </w:tabs>
        <w:spacing w:after="0"/>
        <w:rPr>
          <w:rFonts w:cs="Arial"/>
        </w:rPr>
      </w:pPr>
    </w:p>
    <w:tbl>
      <w:tblPr>
        <w:tblStyle w:val="TableGrid"/>
        <w:tblW w:w="9209" w:type="dxa"/>
        <w:tblLook w:val="04A0" w:firstRow="1" w:lastRow="0" w:firstColumn="1" w:lastColumn="0" w:noHBand="0" w:noVBand="1"/>
      </w:tblPr>
      <w:tblGrid>
        <w:gridCol w:w="2806"/>
        <w:gridCol w:w="1084"/>
        <w:gridCol w:w="1084"/>
        <w:gridCol w:w="1084"/>
        <w:gridCol w:w="1084"/>
        <w:gridCol w:w="1084"/>
        <w:gridCol w:w="983"/>
      </w:tblGrid>
      <w:tr w:rsidR="00814750" w:rsidTr="002A03A8">
        <w:trPr>
          <w:trHeight w:val="303"/>
        </w:trPr>
        <w:tc>
          <w:tcPr>
            <w:tcW w:w="0" w:type="auto"/>
            <w:shd w:val="clear" w:color="auto" w:fill="D9D9D9" w:themeFill="background1" w:themeFillShade="D9"/>
          </w:tcPr>
          <w:p w:rsidR="00814750" w:rsidRDefault="00814750" w:rsidP="003D58F1">
            <w:pPr>
              <w:tabs>
                <w:tab w:val="left" w:pos="567"/>
                <w:tab w:val="left" w:pos="1134"/>
              </w:tabs>
              <w:spacing w:after="0"/>
              <w:rPr>
                <w:rFonts w:cs="Arial"/>
              </w:rPr>
            </w:pPr>
          </w:p>
        </w:tc>
        <w:tc>
          <w:tcPr>
            <w:tcW w:w="0" w:type="auto"/>
            <w:shd w:val="clear" w:color="auto" w:fill="D9D9D9" w:themeFill="background1" w:themeFillShade="D9"/>
            <w:vAlign w:val="center"/>
          </w:tcPr>
          <w:p w:rsidR="00814750" w:rsidRPr="00814750" w:rsidRDefault="00814750" w:rsidP="003D58F1">
            <w:pPr>
              <w:tabs>
                <w:tab w:val="left" w:pos="567"/>
                <w:tab w:val="left" w:pos="1134"/>
              </w:tabs>
              <w:spacing w:after="0"/>
              <w:jc w:val="center"/>
              <w:rPr>
                <w:rFonts w:cs="Arial"/>
                <w:b/>
              </w:rPr>
            </w:pPr>
            <w:r w:rsidRPr="00814750">
              <w:rPr>
                <w:rFonts w:cs="Arial"/>
                <w:b/>
              </w:rPr>
              <w:t>2016/17</w:t>
            </w:r>
          </w:p>
        </w:tc>
        <w:tc>
          <w:tcPr>
            <w:tcW w:w="0" w:type="auto"/>
            <w:shd w:val="clear" w:color="auto" w:fill="D9D9D9" w:themeFill="background1" w:themeFillShade="D9"/>
            <w:vAlign w:val="center"/>
          </w:tcPr>
          <w:p w:rsidR="00814750" w:rsidRPr="00814750" w:rsidRDefault="00814750" w:rsidP="003D58F1">
            <w:pPr>
              <w:tabs>
                <w:tab w:val="left" w:pos="567"/>
                <w:tab w:val="left" w:pos="1134"/>
              </w:tabs>
              <w:spacing w:after="0"/>
              <w:jc w:val="center"/>
              <w:rPr>
                <w:rFonts w:cs="Arial"/>
                <w:b/>
              </w:rPr>
            </w:pPr>
            <w:r w:rsidRPr="00814750">
              <w:rPr>
                <w:rFonts w:cs="Arial"/>
                <w:b/>
              </w:rPr>
              <w:t>2017/18</w:t>
            </w:r>
          </w:p>
        </w:tc>
        <w:tc>
          <w:tcPr>
            <w:tcW w:w="0" w:type="auto"/>
            <w:shd w:val="clear" w:color="auto" w:fill="D9D9D9" w:themeFill="background1" w:themeFillShade="D9"/>
            <w:vAlign w:val="center"/>
          </w:tcPr>
          <w:p w:rsidR="00814750" w:rsidRPr="00814750" w:rsidRDefault="00814750" w:rsidP="003D58F1">
            <w:pPr>
              <w:tabs>
                <w:tab w:val="left" w:pos="567"/>
                <w:tab w:val="left" w:pos="1134"/>
              </w:tabs>
              <w:spacing w:after="0"/>
              <w:jc w:val="center"/>
              <w:rPr>
                <w:rFonts w:cs="Arial"/>
                <w:b/>
              </w:rPr>
            </w:pPr>
            <w:r w:rsidRPr="00814750">
              <w:rPr>
                <w:rFonts w:cs="Arial"/>
                <w:b/>
              </w:rPr>
              <w:t>2018/19</w:t>
            </w:r>
          </w:p>
        </w:tc>
        <w:tc>
          <w:tcPr>
            <w:tcW w:w="0" w:type="auto"/>
            <w:shd w:val="clear" w:color="auto" w:fill="D9D9D9" w:themeFill="background1" w:themeFillShade="D9"/>
            <w:vAlign w:val="center"/>
          </w:tcPr>
          <w:p w:rsidR="00814750" w:rsidRPr="00814750" w:rsidRDefault="00814750" w:rsidP="003D58F1">
            <w:pPr>
              <w:tabs>
                <w:tab w:val="left" w:pos="567"/>
                <w:tab w:val="left" w:pos="1134"/>
              </w:tabs>
              <w:spacing w:after="0"/>
              <w:jc w:val="center"/>
              <w:rPr>
                <w:rFonts w:cs="Arial"/>
                <w:b/>
              </w:rPr>
            </w:pPr>
            <w:r w:rsidRPr="00814750">
              <w:rPr>
                <w:rFonts w:cs="Arial"/>
                <w:b/>
              </w:rPr>
              <w:t>2019/20</w:t>
            </w:r>
          </w:p>
        </w:tc>
        <w:tc>
          <w:tcPr>
            <w:tcW w:w="0" w:type="auto"/>
            <w:shd w:val="clear" w:color="auto" w:fill="D9D9D9" w:themeFill="background1" w:themeFillShade="D9"/>
            <w:vAlign w:val="center"/>
          </w:tcPr>
          <w:p w:rsidR="00814750" w:rsidRPr="00814750" w:rsidRDefault="00814750" w:rsidP="003D58F1">
            <w:pPr>
              <w:tabs>
                <w:tab w:val="left" w:pos="567"/>
                <w:tab w:val="left" w:pos="1134"/>
              </w:tabs>
              <w:spacing w:after="0"/>
              <w:jc w:val="center"/>
              <w:rPr>
                <w:rFonts w:cs="Arial"/>
                <w:b/>
              </w:rPr>
            </w:pPr>
            <w:r w:rsidRPr="00814750">
              <w:rPr>
                <w:rFonts w:cs="Arial"/>
                <w:b/>
              </w:rPr>
              <w:t>2020/21</w:t>
            </w:r>
          </w:p>
        </w:tc>
        <w:tc>
          <w:tcPr>
            <w:tcW w:w="983" w:type="dxa"/>
            <w:shd w:val="clear" w:color="auto" w:fill="D9D9D9" w:themeFill="background1" w:themeFillShade="D9"/>
            <w:vAlign w:val="center"/>
          </w:tcPr>
          <w:p w:rsidR="00814750" w:rsidRPr="00814750" w:rsidRDefault="00814750" w:rsidP="003D58F1">
            <w:pPr>
              <w:tabs>
                <w:tab w:val="left" w:pos="567"/>
                <w:tab w:val="left" w:pos="1134"/>
              </w:tabs>
              <w:spacing w:after="0"/>
              <w:jc w:val="center"/>
              <w:rPr>
                <w:rFonts w:cs="Arial"/>
                <w:b/>
              </w:rPr>
            </w:pPr>
            <w:r w:rsidRPr="00814750">
              <w:rPr>
                <w:rFonts w:cs="Arial"/>
                <w:b/>
              </w:rPr>
              <w:t>Total</w:t>
            </w:r>
          </w:p>
        </w:tc>
      </w:tr>
      <w:tr w:rsidR="00814750" w:rsidTr="002A03A8">
        <w:tc>
          <w:tcPr>
            <w:tcW w:w="0" w:type="auto"/>
            <w:shd w:val="clear" w:color="auto" w:fill="D9D9D9" w:themeFill="background1" w:themeFillShade="D9"/>
          </w:tcPr>
          <w:p w:rsidR="00814750" w:rsidRDefault="00814750" w:rsidP="003D58F1">
            <w:pPr>
              <w:tabs>
                <w:tab w:val="left" w:pos="567"/>
                <w:tab w:val="left" w:pos="1134"/>
              </w:tabs>
              <w:spacing w:after="0"/>
              <w:rPr>
                <w:rFonts w:cs="Arial"/>
              </w:rPr>
            </w:pPr>
          </w:p>
        </w:tc>
        <w:tc>
          <w:tcPr>
            <w:tcW w:w="0" w:type="auto"/>
            <w:shd w:val="clear" w:color="auto" w:fill="D9D9D9" w:themeFill="background1" w:themeFillShade="D9"/>
            <w:vAlign w:val="center"/>
          </w:tcPr>
          <w:p w:rsidR="00814750" w:rsidRPr="00814750" w:rsidRDefault="00814750" w:rsidP="003D58F1">
            <w:pPr>
              <w:tabs>
                <w:tab w:val="left" w:pos="567"/>
                <w:tab w:val="left" w:pos="1134"/>
              </w:tabs>
              <w:spacing w:after="0"/>
              <w:jc w:val="center"/>
              <w:rPr>
                <w:rFonts w:cs="Arial"/>
                <w:b/>
              </w:rPr>
            </w:pPr>
            <w:r w:rsidRPr="00814750">
              <w:rPr>
                <w:rFonts w:cs="Arial"/>
                <w:b/>
              </w:rPr>
              <w:t>£m</w:t>
            </w:r>
          </w:p>
        </w:tc>
        <w:tc>
          <w:tcPr>
            <w:tcW w:w="0" w:type="auto"/>
            <w:shd w:val="clear" w:color="auto" w:fill="D9D9D9" w:themeFill="background1" w:themeFillShade="D9"/>
            <w:vAlign w:val="center"/>
          </w:tcPr>
          <w:p w:rsidR="00814750" w:rsidRPr="00814750" w:rsidRDefault="00814750" w:rsidP="003D58F1">
            <w:pPr>
              <w:tabs>
                <w:tab w:val="left" w:pos="567"/>
                <w:tab w:val="left" w:pos="1134"/>
              </w:tabs>
              <w:spacing w:after="0"/>
              <w:jc w:val="center"/>
              <w:rPr>
                <w:rFonts w:cs="Arial"/>
                <w:b/>
              </w:rPr>
            </w:pPr>
            <w:r w:rsidRPr="00814750">
              <w:rPr>
                <w:rFonts w:cs="Arial"/>
                <w:b/>
              </w:rPr>
              <w:t>£m</w:t>
            </w:r>
          </w:p>
        </w:tc>
        <w:tc>
          <w:tcPr>
            <w:tcW w:w="0" w:type="auto"/>
            <w:shd w:val="clear" w:color="auto" w:fill="D9D9D9" w:themeFill="background1" w:themeFillShade="D9"/>
            <w:vAlign w:val="center"/>
          </w:tcPr>
          <w:p w:rsidR="00814750" w:rsidRPr="00814750" w:rsidRDefault="00814750" w:rsidP="003D58F1">
            <w:pPr>
              <w:tabs>
                <w:tab w:val="left" w:pos="567"/>
                <w:tab w:val="left" w:pos="1134"/>
              </w:tabs>
              <w:spacing w:after="0"/>
              <w:jc w:val="center"/>
              <w:rPr>
                <w:rFonts w:cs="Arial"/>
                <w:b/>
              </w:rPr>
            </w:pPr>
            <w:r w:rsidRPr="00814750">
              <w:rPr>
                <w:rFonts w:cs="Arial"/>
                <w:b/>
              </w:rPr>
              <w:t>£m</w:t>
            </w:r>
          </w:p>
        </w:tc>
        <w:tc>
          <w:tcPr>
            <w:tcW w:w="0" w:type="auto"/>
            <w:shd w:val="clear" w:color="auto" w:fill="D9D9D9" w:themeFill="background1" w:themeFillShade="D9"/>
            <w:vAlign w:val="center"/>
          </w:tcPr>
          <w:p w:rsidR="00814750" w:rsidRPr="00814750" w:rsidRDefault="00814750" w:rsidP="003D58F1">
            <w:pPr>
              <w:tabs>
                <w:tab w:val="left" w:pos="567"/>
                <w:tab w:val="left" w:pos="1134"/>
              </w:tabs>
              <w:spacing w:after="0"/>
              <w:jc w:val="center"/>
              <w:rPr>
                <w:rFonts w:cs="Arial"/>
                <w:b/>
              </w:rPr>
            </w:pPr>
            <w:r w:rsidRPr="00814750">
              <w:rPr>
                <w:rFonts w:cs="Arial"/>
                <w:b/>
              </w:rPr>
              <w:t>£m</w:t>
            </w:r>
          </w:p>
        </w:tc>
        <w:tc>
          <w:tcPr>
            <w:tcW w:w="0" w:type="auto"/>
            <w:shd w:val="clear" w:color="auto" w:fill="D9D9D9" w:themeFill="background1" w:themeFillShade="D9"/>
            <w:vAlign w:val="center"/>
          </w:tcPr>
          <w:p w:rsidR="00814750" w:rsidRPr="00814750" w:rsidRDefault="00814750" w:rsidP="003D58F1">
            <w:pPr>
              <w:tabs>
                <w:tab w:val="left" w:pos="567"/>
                <w:tab w:val="left" w:pos="1134"/>
              </w:tabs>
              <w:spacing w:after="0"/>
              <w:jc w:val="center"/>
              <w:rPr>
                <w:rFonts w:cs="Arial"/>
                <w:b/>
              </w:rPr>
            </w:pPr>
            <w:r w:rsidRPr="00814750">
              <w:rPr>
                <w:rFonts w:cs="Arial"/>
                <w:b/>
              </w:rPr>
              <w:t>£m</w:t>
            </w:r>
          </w:p>
        </w:tc>
        <w:tc>
          <w:tcPr>
            <w:tcW w:w="983" w:type="dxa"/>
            <w:shd w:val="clear" w:color="auto" w:fill="D9D9D9" w:themeFill="background1" w:themeFillShade="D9"/>
            <w:vAlign w:val="center"/>
          </w:tcPr>
          <w:p w:rsidR="00814750" w:rsidRPr="00814750" w:rsidRDefault="00814750" w:rsidP="003D58F1">
            <w:pPr>
              <w:tabs>
                <w:tab w:val="left" w:pos="567"/>
                <w:tab w:val="left" w:pos="1134"/>
              </w:tabs>
              <w:spacing w:after="0"/>
              <w:jc w:val="center"/>
              <w:rPr>
                <w:rFonts w:cs="Arial"/>
                <w:b/>
              </w:rPr>
            </w:pPr>
            <w:r w:rsidRPr="00814750">
              <w:rPr>
                <w:rFonts w:cs="Arial"/>
                <w:b/>
              </w:rPr>
              <w:t>£m</w:t>
            </w:r>
          </w:p>
        </w:tc>
      </w:tr>
      <w:tr w:rsidR="006A449F" w:rsidTr="00843752">
        <w:trPr>
          <w:trHeight w:val="608"/>
        </w:trPr>
        <w:tc>
          <w:tcPr>
            <w:tcW w:w="0" w:type="auto"/>
            <w:vAlign w:val="center"/>
          </w:tcPr>
          <w:p w:rsidR="006A449F" w:rsidRPr="006A449F" w:rsidRDefault="006A449F" w:rsidP="003D58F1">
            <w:pPr>
              <w:tabs>
                <w:tab w:val="left" w:pos="567"/>
                <w:tab w:val="left" w:pos="1134"/>
              </w:tabs>
              <w:spacing w:after="0"/>
              <w:jc w:val="left"/>
              <w:rPr>
                <w:rFonts w:cs="Arial"/>
              </w:rPr>
            </w:pPr>
            <w:r w:rsidRPr="006A449F">
              <w:rPr>
                <w:rFonts w:cs="Arial"/>
              </w:rPr>
              <w:t>Total price inflation</w:t>
            </w:r>
          </w:p>
        </w:tc>
        <w:tc>
          <w:tcPr>
            <w:tcW w:w="0" w:type="auto"/>
            <w:vAlign w:val="center"/>
          </w:tcPr>
          <w:p w:rsidR="006A449F" w:rsidRPr="006A449F" w:rsidRDefault="00C7650B" w:rsidP="006B42B3">
            <w:pPr>
              <w:tabs>
                <w:tab w:val="left" w:pos="567"/>
                <w:tab w:val="left" w:pos="1134"/>
              </w:tabs>
              <w:spacing w:after="0"/>
              <w:jc w:val="center"/>
              <w:rPr>
                <w:rFonts w:cs="Arial"/>
              </w:rPr>
            </w:pPr>
            <w:r>
              <w:rPr>
                <w:rFonts w:cs="Arial"/>
              </w:rPr>
              <w:t>21.3</w:t>
            </w:r>
          </w:p>
        </w:tc>
        <w:tc>
          <w:tcPr>
            <w:tcW w:w="0" w:type="auto"/>
            <w:vAlign w:val="center"/>
          </w:tcPr>
          <w:p w:rsidR="006A449F" w:rsidRPr="006A449F" w:rsidRDefault="00C7650B" w:rsidP="006B42B3">
            <w:pPr>
              <w:tabs>
                <w:tab w:val="left" w:pos="567"/>
                <w:tab w:val="left" w:pos="1134"/>
              </w:tabs>
              <w:spacing w:after="0"/>
              <w:jc w:val="center"/>
              <w:rPr>
                <w:rFonts w:cs="Arial"/>
              </w:rPr>
            </w:pPr>
            <w:r>
              <w:rPr>
                <w:rFonts w:cs="Arial"/>
              </w:rPr>
              <w:t>16.5</w:t>
            </w:r>
          </w:p>
        </w:tc>
        <w:tc>
          <w:tcPr>
            <w:tcW w:w="0" w:type="auto"/>
            <w:vAlign w:val="center"/>
          </w:tcPr>
          <w:p w:rsidR="006A449F" w:rsidRPr="006A449F" w:rsidRDefault="00C7650B" w:rsidP="006B42B3">
            <w:pPr>
              <w:tabs>
                <w:tab w:val="left" w:pos="567"/>
                <w:tab w:val="left" w:pos="1134"/>
              </w:tabs>
              <w:spacing w:after="0"/>
              <w:jc w:val="center"/>
              <w:rPr>
                <w:rFonts w:cs="Arial"/>
              </w:rPr>
            </w:pPr>
            <w:r>
              <w:rPr>
                <w:rFonts w:cs="Arial"/>
              </w:rPr>
              <w:t>16.5</w:t>
            </w:r>
          </w:p>
        </w:tc>
        <w:tc>
          <w:tcPr>
            <w:tcW w:w="0" w:type="auto"/>
            <w:vAlign w:val="center"/>
          </w:tcPr>
          <w:p w:rsidR="006A449F" w:rsidRPr="006A449F" w:rsidRDefault="00C7650B" w:rsidP="006A449F">
            <w:pPr>
              <w:tabs>
                <w:tab w:val="left" w:pos="567"/>
                <w:tab w:val="left" w:pos="1134"/>
              </w:tabs>
              <w:spacing w:after="0"/>
              <w:jc w:val="center"/>
              <w:rPr>
                <w:rFonts w:cs="Arial"/>
              </w:rPr>
            </w:pPr>
            <w:r>
              <w:rPr>
                <w:rFonts w:cs="Arial"/>
              </w:rPr>
              <w:t>17.4</w:t>
            </w:r>
          </w:p>
        </w:tc>
        <w:tc>
          <w:tcPr>
            <w:tcW w:w="0" w:type="auto"/>
            <w:vAlign w:val="center"/>
          </w:tcPr>
          <w:p w:rsidR="006A449F" w:rsidRPr="006A449F" w:rsidRDefault="00C7650B" w:rsidP="006A449F">
            <w:pPr>
              <w:tabs>
                <w:tab w:val="left" w:pos="567"/>
                <w:tab w:val="left" w:pos="1134"/>
              </w:tabs>
              <w:spacing w:after="0"/>
              <w:jc w:val="center"/>
              <w:rPr>
                <w:rFonts w:cs="Arial"/>
              </w:rPr>
            </w:pPr>
            <w:r>
              <w:rPr>
                <w:rFonts w:cs="Arial"/>
              </w:rPr>
              <w:t>19.5</w:t>
            </w:r>
          </w:p>
        </w:tc>
        <w:tc>
          <w:tcPr>
            <w:tcW w:w="983" w:type="dxa"/>
            <w:vAlign w:val="center"/>
          </w:tcPr>
          <w:p w:rsidR="006A449F" w:rsidRPr="006A449F" w:rsidRDefault="00D53429" w:rsidP="002A03A8">
            <w:pPr>
              <w:tabs>
                <w:tab w:val="left" w:pos="567"/>
                <w:tab w:val="left" w:pos="1134"/>
              </w:tabs>
              <w:spacing w:after="0"/>
              <w:jc w:val="center"/>
              <w:rPr>
                <w:rFonts w:cs="Arial"/>
              </w:rPr>
            </w:pPr>
            <w:r>
              <w:rPr>
                <w:rFonts w:cs="Arial"/>
              </w:rPr>
              <w:t>91.2</w:t>
            </w:r>
          </w:p>
        </w:tc>
      </w:tr>
      <w:tr w:rsidR="00814750" w:rsidTr="002A03A8">
        <w:tc>
          <w:tcPr>
            <w:tcW w:w="0" w:type="auto"/>
            <w:vAlign w:val="center"/>
          </w:tcPr>
          <w:p w:rsidR="00814750" w:rsidRDefault="00814750" w:rsidP="003D58F1">
            <w:pPr>
              <w:tabs>
                <w:tab w:val="left" w:pos="567"/>
                <w:tab w:val="left" w:pos="1134"/>
              </w:tabs>
              <w:spacing w:after="0"/>
              <w:jc w:val="left"/>
              <w:rPr>
                <w:rFonts w:cs="Arial"/>
              </w:rPr>
            </w:pPr>
            <w:r>
              <w:rPr>
                <w:rFonts w:cs="Arial"/>
              </w:rPr>
              <w:t>Impact of revised price inflation assumptions</w:t>
            </w:r>
          </w:p>
        </w:tc>
        <w:tc>
          <w:tcPr>
            <w:tcW w:w="0" w:type="auto"/>
            <w:vAlign w:val="center"/>
          </w:tcPr>
          <w:p w:rsidR="00814750" w:rsidRDefault="00C7650B" w:rsidP="002A03A8">
            <w:pPr>
              <w:tabs>
                <w:tab w:val="left" w:pos="567"/>
                <w:tab w:val="left" w:pos="1134"/>
              </w:tabs>
              <w:spacing w:after="0"/>
              <w:jc w:val="center"/>
              <w:rPr>
                <w:rFonts w:cs="Arial"/>
              </w:rPr>
            </w:pPr>
            <w:r>
              <w:rPr>
                <w:rFonts w:cs="Arial"/>
              </w:rPr>
              <w:t>-4.5</w:t>
            </w:r>
          </w:p>
        </w:tc>
        <w:tc>
          <w:tcPr>
            <w:tcW w:w="0" w:type="auto"/>
            <w:vAlign w:val="center"/>
          </w:tcPr>
          <w:p w:rsidR="00814750" w:rsidRDefault="00C7650B" w:rsidP="002A03A8">
            <w:pPr>
              <w:tabs>
                <w:tab w:val="left" w:pos="567"/>
                <w:tab w:val="left" w:pos="1134"/>
              </w:tabs>
              <w:spacing w:after="0"/>
              <w:jc w:val="center"/>
              <w:rPr>
                <w:rFonts w:cs="Arial"/>
              </w:rPr>
            </w:pPr>
            <w:r>
              <w:rPr>
                <w:rFonts w:cs="Arial"/>
              </w:rPr>
              <w:t>-5.0</w:t>
            </w:r>
          </w:p>
        </w:tc>
        <w:tc>
          <w:tcPr>
            <w:tcW w:w="0" w:type="auto"/>
            <w:vAlign w:val="center"/>
          </w:tcPr>
          <w:p w:rsidR="00814750" w:rsidRDefault="00C7650B" w:rsidP="002A03A8">
            <w:pPr>
              <w:tabs>
                <w:tab w:val="left" w:pos="567"/>
                <w:tab w:val="left" w:pos="1134"/>
              </w:tabs>
              <w:spacing w:after="0"/>
              <w:jc w:val="center"/>
              <w:rPr>
                <w:rFonts w:cs="Arial"/>
              </w:rPr>
            </w:pPr>
            <w:r>
              <w:rPr>
                <w:rFonts w:cs="Arial"/>
              </w:rPr>
              <w:t>-1.5</w:t>
            </w:r>
          </w:p>
        </w:tc>
        <w:tc>
          <w:tcPr>
            <w:tcW w:w="0" w:type="auto"/>
            <w:vAlign w:val="center"/>
          </w:tcPr>
          <w:p w:rsidR="00814750" w:rsidRDefault="00C7650B" w:rsidP="002A03A8">
            <w:pPr>
              <w:tabs>
                <w:tab w:val="left" w:pos="567"/>
                <w:tab w:val="left" w:pos="1134"/>
              </w:tabs>
              <w:spacing w:after="0"/>
              <w:jc w:val="center"/>
              <w:rPr>
                <w:rFonts w:cs="Arial"/>
              </w:rPr>
            </w:pPr>
            <w:r>
              <w:rPr>
                <w:rFonts w:cs="Arial"/>
              </w:rPr>
              <w:t>-2.2</w:t>
            </w:r>
          </w:p>
        </w:tc>
        <w:tc>
          <w:tcPr>
            <w:tcW w:w="0" w:type="auto"/>
            <w:vAlign w:val="center"/>
          </w:tcPr>
          <w:p w:rsidR="00814750" w:rsidRDefault="00C7650B" w:rsidP="002A03A8">
            <w:pPr>
              <w:tabs>
                <w:tab w:val="left" w:pos="567"/>
                <w:tab w:val="left" w:pos="1134"/>
              </w:tabs>
              <w:spacing w:after="0"/>
              <w:jc w:val="center"/>
              <w:rPr>
                <w:rFonts w:cs="Arial"/>
              </w:rPr>
            </w:pPr>
            <w:r>
              <w:rPr>
                <w:rFonts w:cs="Arial"/>
              </w:rPr>
              <w:t>-2.2</w:t>
            </w:r>
          </w:p>
        </w:tc>
        <w:tc>
          <w:tcPr>
            <w:tcW w:w="983" w:type="dxa"/>
            <w:vAlign w:val="center"/>
          </w:tcPr>
          <w:p w:rsidR="00814750" w:rsidRDefault="00D53429" w:rsidP="002A03A8">
            <w:pPr>
              <w:tabs>
                <w:tab w:val="left" w:pos="567"/>
                <w:tab w:val="left" w:pos="1134"/>
              </w:tabs>
              <w:spacing w:after="0"/>
              <w:jc w:val="center"/>
              <w:rPr>
                <w:rFonts w:cs="Arial"/>
              </w:rPr>
            </w:pPr>
            <w:r w:rsidRPr="00EF4A1C">
              <w:rPr>
                <w:rFonts w:cs="Arial"/>
              </w:rPr>
              <w:t>-15.4</w:t>
            </w:r>
          </w:p>
        </w:tc>
      </w:tr>
    </w:tbl>
    <w:p w:rsidR="00814750" w:rsidRDefault="00814750" w:rsidP="003D58F1">
      <w:pPr>
        <w:spacing w:after="0"/>
        <w:rPr>
          <w:rFonts w:cs="Arial"/>
        </w:rPr>
      </w:pPr>
    </w:p>
    <w:p w:rsidR="001547F8" w:rsidRDefault="006A449F" w:rsidP="003D58F1">
      <w:pPr>
        <w:spacing w:after="0"/>
        <w:rPr>
          <w:rFonts w:cs="Arial"/>
        </w:rPr>
      </w:pPr>
      <w:r w:rsidRPr="000F0E5F">
        <w:rPr>
          <w:rFonts w:cs="Arial"/>
        </w:rPr>
        <w:t>Some of the key areas of price pressure are:</w:t>
      </w:r>
    </w:p>
    <w:p w:rsidR="00DD534F" w:rsidRPr="000F0E5F" w:rsidRDefault="00DD534F" w:rsidP="003D58F1">
      <w:pPr>
        <w:spacing w:after="0"/>
        <w:rPr>
          <w:rFonts w:cs="Arial"/>
        </w:rPr>
      </w:pPr>
    </w:p>
    <w:p w:rsidR="001547F8" w:rsidRPr="000F0E5F" w:rsidRDefault="001547F8" w:rsidP="00C924A3">
      <w:pPr>
        <w:pStyle w:val="ListParagraph"/>
        <w:numPr>
          <w:ilvl w:val="0"/>
          <w:numId w:val="30"/>
        </w:numPr>
        <w:rPr>
          <w:rFonts w:cs="Arial"/>
        </w:rPr>
      </w:pPr>
      <w:r w:rsidRPr="000F0E5F">
        <w:rPr>
          <w:rFonts w:cs="Arial"/>
        </w:rPr>
        <w:t xml:space="preserve">An estimated £58m over the period for payments to external providers of social care attract annual inflation in order for the fees paid by the </w:t>
      </w:r>
      <w:r w:rsidR="005C4C7C">
        <w:rPr>
          <w:rFonts w:cs="Arial"/>
        </w:rPr>
        <w:t xml:space="preserve">County </w:t>
      </w:r>
      <w:r w:rsidRPr="000F0E5F">
        <w:rPr>
          <w:rFonts w:cs="Arial"/>
        </w:rPr>
        <w:t xml:space="preserve">Council to keep up with increases in the price of resources for suppliers. The </w:t>
      </w:r>
      <w:r w:rsidR="005C4C7C">
        <w:rPr>
          <w:rFonts w:cs="Arial"/>
        </w:rPr>
        <w:t xml:space="preserve">County </w:t>
      </w:r>
      <w:r w:rsidRPr="000F0E5F">
        <w:rPr>
          <w:rFonts w:cs="Arial"/>
        </w:rPr>
        <w:t>Council has a legal responsibility to demonstrate the suppliers are able to deliver services with the fees paid to them. The inflation assumptions used for externally provided social care are set out below and are based on the application of relevant inflation rates to a costing model:</w:t>
      </w:r>
    </w:p>
    <w:tbl>
      <w:tblPr>
        <w:tblpPr w:leftFromText="180" w:rightFromText="180" w:vertAnchor="text" w:horzAnchor="page" w:tblpX="2267" w:tblpY="30"/>
        <w:tblW w:w="8084" w:type="dxa"/>
        <w:tblLayout w:type="fixed"/>
        <w:tblLook w:val="04A0" w:firstRow="1" w:lastRow="0" w:firstColumn="1" w:lastColumn="0" w:noHBand="0" w:noVBand="1"/>
      </w:tblPr>
      <w:tblGrid>
        <w:gridCol w:w="2413"/>
        <w:gridCol w:w="1135"/>
        <w:gridCol w:w="1133"/>
        <w:gridCol w:w="1135"/>
        <w:gridCol w:w="1133"/>
        <w:gridCol w:w="1135"/>
      </w:tblGrid>
      <w:tr w:rsidR="005C4C7C" w:rsidRPr="000F0E5F" w:rsidTr="00604170">
        <w:trPr>
          <w:trHeight w:val="256"/>
        </w:trPr>
        <w:tc>
          <w:tcPr>
            <w:tcW w:w="2413"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bottom"/>
          </w:tcPr>
          <w:p w:rsidR="005C4C7C" w:rsidRDefault="005C4C7C" w:rsidP="005C4C7C">
            <w:pPr>
              <w:spacing w:after="0"/>
              <w:jc w:val="left"/>
              <w:rPr>
                <w:rFonts w:eastAsia="Times New Roman" w:cs="Arial"/>
                <w:b/>
                <w:bCs/>
                <w:lang w:eastAsia="en-GB"/>
              </w:rPr>
            </w:pPr>
          </w:p>
          <w:p w:rsidR="005C4C7C" w:rsidRDefault="005C4C7C" w:rsidP="005C4C7C">
            <w:pPr>
              <w:spacing w:after="0"/>
              <w:jc w:val="left"/>
              <w:rPr>
                <w:rFonts w:eastAsia="Times New Roman" w:cs="Arial"/>
                <w:b/>
                <w:bCs/>
                <w:lang w:eastAsia="en-GB"/>
              </w:rPr>
            </w:pPr>
            <w:r>
              <w:rPr>
                <w:rFonts w:eastAsia="Times New Roman" w:cs="Arial"/>
                <w:b/>
                <w:bCs/>
                <w:lang w:eastAsia="en-GB"/>
              </w:rPr>
              <w:t>Service</w:t>
            </w:r>
          </w:p>
          <w:p w:rsidR="005C4C7C" w:rsidRPr="000F0E5F" w:rsidRDefault="005C4C7C" w:rsidP="005C4C7C">
            <w:pPr>
              <w:spacing w:after="0"/>
              <w:jc w:val="left"/>
              <w:rPr>
                <w:rFonts w:eastAsia="Times New Roman" w:cs="Arial"/>
                <w:b/>
                <w:bCs/>
                <w:lang w:eastAsia="en-GB"/>
              </w:rPr>
            </w:pPr>
          </w:p>
        </w:tc>
        <w:tc>
          <w:tcPr>
            <w:tcW w:w="113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C4C7C" w:rsidRPr="00604170" w:rsidRDefault="005C4C7C" w:rsidP="005C4C7C">
            <w:pPr>
              <w:spacing w:after="0"/>
              <w:jc w:val="center"/>
              <w:rPr>
                <w:rFonts w:eastAsia="Times New Roman" w:cs="Arial"/>
                <w:b/>
                <w:lang w:eastAsia="en-GB"/>
              </w:rPr>
            </w:pPr>
            <w:r w:rsidRPr="00604170">
              <w:rPr>
                <w:rFonts w:eastAsia="Times New Roman" w:cs="Arial"/>
                <w:b/>
                <w:lang w:eastAsia="en-GB"/>
              </w:rPr>
              <w:t>2016/17</w:t>
            </w:r>
          </w:p>
          <w:p w:rsidR="005C4C7C" w:rsidRPr="00604170" w:rsidRDefault="005C4C7C" w:rsidP="005C4C7C">
            <w:pPr>
              <w:spacing w:after="0"/>
              <w:jc w:val="center"/>
              <w:rPr>
                <w:rFonts w:eastAsia="Times New Roman" w:cs="Arial"/>
                <w:b/>
                <w:lang w:eastAsia="en-GB"/>
              </w:rPr>
            </w:pPr>
          </w:p>
        </w:tc>
        <w:tc>
          <w:tcPr>
            <w:tcW w:w="1133"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C4C7C" w:rsidRPr="00604170" w:rsidRDefault="005C4C7C" w:rsidP="005C4C7C">
            <w:pPr>
              <w:spacing w:after="0"/>
              <w:jc w:val="center"/>
              <w:rPr>
                <w:rFonts w:eastAsia="Times New Roman" w:cs="Arial"/>
                <w:b/>
                <w:lang w:eastAsia="en-GB"/>
              </w:rPr>
            </w:pPr>
            <w:r w:rsidRPr="00604170">
              <w:rPr>
                <w:rFonts w:eastAsia="Times New Roman" w:cs="Arial"/>
                <w:b/>
                <w:lang w:eastAsia="en-GB"/>
              </w:rPr>
              <w:t>2017/18</w:t>
            </w:r>
          </w:p>
          <w:p w:rsidR="005C4C7C" w:rsidRPr="00604170" w:rsidRDefault="005C4C7C" w:rsidP="005C4C7C">
            <w:pPr>
              <w:spacing w:after="0"/>
              <w:jc w:val="center"/>
              <w:rPr>
                <w:rFonts w:eastAsia="Times New Roman" w:cs="Arial"/>
                <w:b/>
                <w:lang w:eastAsia="en-GB"/>
              </w:rPr>
            </w:pPr>
          </w:p>
        </w:tc>
        <w:tc>
          <w:tcPr>
            <w:tcW w:w="113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C4C7C" w:rsidRPr="00604170" w:rsidRDefault="005C4C7C" w:rsidP="005C4C7C">
            <w:pPr>
              <w:spacing w:after="0"/>
              <w:jc w:val="center"/>
              <w:rPr>
                <w:rFonts w:eastAsia="Times New Roman" w:cs="Arial"/>
                <w:b/>
                <w:lang w:eastAsia="en-GB"/>
              </w:rPr>
            </w:pPr>
            <w:r w:rsidRPr="00604170">
              <w:rPr>
                <w:rFonts w:eastAsia="Times New Roman" w:cs="Arial"/>
                <w:b/>
                <w:lang w:eastAsia="en-GB"/>
              </w:rPr>
              <w:t>2018/19</w:t>
            </w:r>
          </w:p>
          <w:p w:rsidR="005C4C7C" w:rsidRPr="00604170" w:rsidRDefault="005C4C7C" w:rsidP="005C4C7C">
            <w:pPr>
              <w:spacing w:after="0"/>
              <w:jc w:val="center"/>
              <w:rPr>
                <w:rFonts w:eastAsia="Times New Roman" w:cs="Arial"/>
                <w:b/>
                <w:lang w:eastAsia="en-GB"/>
              </w:rPr>
            </w:pPr>
          </w:p>
        </w:tc>
        <w:tc>
          <w:tcPr>
            <w:tcW w:w="1133"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C4C7C" w:rsidRPr="00604170" w:rsidRDefault="005C4C7C" w:rsidP="005C4C7C">
            <w:pPr>
              <w:spacing w:after="0"/>
              <w:jc w:val="center"/>
              <w:rPr>
                <w:rFonts w:eastAsia="Times New Roman" w:cs="Arial"/>
                <w:b/>
                <w:lang w:eastAsia="en-GB"/>
              </w:rPr>
            </w:pPr>
            <w:r w:rsidRPr="00604170">
              <w:rPr>
                <w:rFonts w:eastAsia="Times New Roman" w:cs="Arial"/>
                <w:b/>
                <w:lang w:eastAsia="en-GB"/>
              </w:rPr>
              <w:t>2019/20</w:t>
            </w:r>
          </w:p>
          <w:p w:rsidR="005C4C7C" w:rsidRPr="00604170" w:rsidRDefault="005C4C7C" w:rsidP="005C4C7C">
            <w:pPr>
              <w:spacing w:after="0"/>
              <w:jc w:val="center"/>
              <w:rPr>
                <w:rFonts w:eastAsia="Times New Roman" w:cs="Arial"/>
                <w:b/>
                <w:lang w:eastAsia="en-GB"/>
              </w:rPr>
            </w:pPr>
          </w:p>
        </w:tc>
        <w:tc>
          <w:tcPr>
            <w:tcW w:w="1135" w:type="dxa"/>
            <w:tcBorders>
              <w:top w:val="single" w:sz="4" w:space="0" w:color="auto"/>
              <w:left w:val="nil"/>
              <w:bottom w:val="single" w:sz="4" w:space="0" w:color="auto"/>
              <w:right w:val="single" w:sz="4" w:space="0" w:color="auto"/>
            </w:tcBorders>
            <w:shd w:val="clear" w:color="auto" w:fill="D9D9D9" w:themeFill="background1" w:themeFillShade="D9"/>
            <w:noWrap/>
            <w:vAlign w:val="bottom"/>
          </w:tcPr>
          <w:p w:rsidR="005C4C7C" w:rsidRPr="00604170" w:rsidRDefault="005C4C7C" w:rsidP="005C4C7C">
            <w:pPr>
              <w:spacing w:after="0"/>
              <w:jc w:val="center"/>
              <w:rPr>
                <w:rFonts w:eastAsia="Times New Roman" w:cs="Arial"/>
                <w:b/>
                <w:lang w:eastAsia="en-GB"/>
              </w:rPr>
            </w:pPr>
            <w:r w:rsidRPr="00604170">
              <w:rPr>
                <w:rFonts w:eastAsia="Times New Roman" w:cs="Arial"/>
                <w:b/>
                <w:lang w:eastAsia="en-GB"/>
              </w:rPr>
              <w:t>2020/21</w:t>
            </w:r>
          </w:p>
          <w:p w:rsidR="005C4C7C" w:rsidRPr="00604170" w:rsidRDefault="005C4C7C" w:rsidP="005C4C7C">
            <w:pPr>
              <w:spacing w:after="0"/>
              <w:jc w:val="center"/>
              <w:rPr>
                <w:rFonts w:eastAsia="Times New Roman" w:cs="Arial"/>
                <w:b/>
                <w:lang w:eastAsia="en-GB"/>
              </w:rPr>
            </w:pPr>
          </w:p>
        </w:tc>
      </w:tr>
      <w:tr w:rsidR="00C924A3" w:rsidRPr="000F0E5F" w:rsidTr="005C4C7C">
        <w:trPr>
          <w:trHeight w:val="256"/>
        </w:trPr>
        <w:tc>
          <w:tcPr>
            <w:tcW w:w="241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924A3" w:rsidRPr="000F0E5F" w:rsidRDefault="00C924A3" w:rsidP="005C4C7C">
            <w:pPr>
              <w:spacing w:after="0"/>
              <w:jc w:val="left"/>
              <w:rPr>
                <w:rFonts w:eastAsia="Times New Roman" w:cs="Arial"/>
                <w:b/>
                <w:bCs/>
                <w:lang w:eastAsia="en-GB"/>
              </w:rPr>
            </w:pPr>
            <w:r w:rsidRPr="000F0E5F">
              <w:rPr>
                <w:rFonts w:eastAsia="Times New Roman" w:cs="Arial"/>
                <w:b/>
                <w:bCs/>
                <w:lang w:eastAsia="en-GB"/>
              </w:rPr>
              <w:t>Nursing Care</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C924A3" w:rsidRPr="000F0E5F" w:rsidRDefault="00C924A3" w:rsidP="005C4C7C">
            <w:pPr>
              <w:spacing w:after="0"/>
              <w:jc w:val="center"/>
              <w:rPr>
                <w:rFonts w:eastAsia="Times New Roman" w:cs="Arial"/>
                <w:lang w:eastAsia="en-GB"/>
              </w:rPr>
            </w:pPr>
            <w:r w:rsidRPr="000F0E5F">
              <w:rPr>
                <w:rFonts w:eastAsia="Times New Roman" w:cs="Arial"/>
                <w:lang w:eastAsia="en-GB"/>
              </w:rPr>
              <w:t>2.5%</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C924A3" w:rsidRPr="000F0E5F" w:rsidRDefault="00C924A3" w:rsidP="005C4C7C">
            <w:pPr>
              <w:spacing w:after="0"/>
              <w:jc w:val="center"/>
              <w:rPr>
                <w:rFonts w:eastAsia="Times New Roman" w:cs="Arial"/>
                <w:lang w:eastAsia="en-GB"/>
              </w:rPr>
            </w:pPr>
            <w:r w:rsidRPr="000F0E5F">
              <w:rPr>
                <w:rFonts w:eastAsia="Times New Roman" w:cs="Arial"/>
                <w:lang w:eastAsia="en-GB"/>
              </w:rPr>
              <w:t>2.7%</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C924A3" w:rsidRPr="000F0E5F" w:rsidRDefault="00C924A3" w:rsidP="005C4C7C">
            <w:pPr>
              <w:spacing w:after="0"/>
              <w:jc w:val="center"/>
              <w:rPr>
                <w:rFonts w:eastAsia="Times New Roman" w:cs="Arial"/>
                <w:lang w:eastAsia="en-GB"/>
              </w:rPr>
            </w:pPr>
            <w:r w:rsidRPr="000F0E5F">
              <w:rPr>
                <w:rFonts w:eastAsia="Times New Roman" w:cs="Arial"/>
                <w:lang w:eastAsia="en-GB"/>
              </w:rPr>
              <w:t>2.9%</w:t>
            </w:r>
          </w:p>
        </w:tc>
        <w:tc>
          <w:tcPr>
            <w:tcW w:w="1133" w:type="dxa"/>
            <w:tcBorders>
              <w:top w:val="single" w:sz="4" w:space="0" w:color="auto"/>
              <w:left w:val="nil"/>
              <w:bottom w:val="single" w:sz="4" w:space="0" w:color="auto"/>
              <w:right w:val="single" w:sz="4" w:space="0" w:color="auto"/>
            </w:tcBorders>
            <w:shd w:val="clear" w:color="auto" w:fill="auto"/>
            <w:noWrap/>
            <w:vAlign w:val="bottom"/>
            <w:hideMark/>
          </w:tcPr>
          <w:p w:rsidR="00C924A3" w:rsidRPr="000F0E5F" w:rsidRDefault="00C924A3" w:rsidP="005C4C7C">
            <w:pPr>
              <w:spacing w:after="0"/>
              <w:jc w:val="center"/>
              <w:rPr>
                <w:rFonts w:eastAsia="Times New Roman" w:cs="Arial"/>
                <w:lang w:eastAsia="en-GB"/>
              </w:rPr>
            </w:pPr>
            <w:r w:rsidRPr="000F0E5F">
              <w:rPr>
                <w:rFonts w:eastAsia="Times New Roman" w:cs="Arial"/>
                <w:lang w:eastAsia="en-GB"/>
              </w:rPr>
              <w:t>2.9%</w:t>
            </w:r>
          </w:p>
        </w:tc>
        <w:tc>
          <w:tcPr>
            <w:tcW w:w="1135" w:type="dxa"/>
            <w:tcBorders>
              <w:top w:val="single" w:sz="4" w:space="0" w:color="auto"/>
              <w:left w:val="nil"/>
              <w:bottom w:val="single" w:sz="4" w:space="0" w:color="auto"/>
              <w:right w:val="single" w:sz="4" w:space="0" w:color="auto"/>
            </w:tcBorders>
            <w:shd w:val="clear" w:color="auto" w:fill="auto"/>
            <w:noWrap/>
            <w:vAlign w:val="bottom"/>
            <w:hideMark/>
          </w:tcPr>
          <w:p w:rsidR="00C924A3" w:rsidRPr="000F0E5F" w:rsidRDefault="00C924A3" w:rsidP="005C4C7C">
            <w:pPr>
              <w:spacing w:after="0"/>
              <w:jc w:val="center"/>
              <w:rPr>
                <w:rFonts w:eastAsia="Times New Roman" w:cs="Arial"/>
                <w:lang w:eastAsia="en-GB"/>
              </w:rPr>
            </w:pPr>
            <w:r w:rsidRPr="000F0E5F">
              <w:rPr>
                <w:rFonts w:eastAsia="Times New Roman" w:cs="Arial"/>
                <w:lang w:eastAsia="en-GB"/>
              </w:rPr>
              <w:t>2.9%</w:t>
            </w:r>
          </w:p>
        </w:tc>
      </w:tr>
      <w:tr w:rsidR="00C924A3" w:rsidRPr="000F0E5F" w:rsidTr="005C4C7C">
        <w:trPr>
          <w:trHeight w:val="256"/>
        </w:trPr>
        <w:tc>
          <w:tcPr>
            <w:tcW w:w="2413" w:type="dxa"/>
            <w:tcBorders>
              <w:top w:val="nil"/>
              <w:left w:val="single" w:sz="4" w:space="0" w:color="auto"/>
              <w:bottom w:val="single" w:sz="4" w:space="0" w:color="auto"/>
              <w:right w:val="single" w:sz="4" w:space="0" w:color="auto"/>
            </w:tcBorders>
            <w:shd w:val="clear" w:color="auto" w:fill="auto"/>
            <w:noWrap/>
            <w:vAlign w:val="bottom"/>
            <w:hideMark/>
          </w:tcPr>
          <w:p w:rsidR="00C924A3" w:rsidRPr="000F0E5F" w:rsidRDefault="00C924A3" w:rsidP="005C4C7C">
            <w:pPr>
              <w:spacing w:after="0"/>
              <w:jc w:val="left"/>
              <w:rPr>
                <w:rFonts w:eastAsia="Times New Roman" w:cs="Arial"/>
                <w:b/>
                <w:bCs/>
                <w:lang w:eastAsia="en-GB"/>
              </w:rPr>
            </w:pPr>
            <w:r w:rsidRPr="000F0E5F">
              <w:rPr>
                <w:rFonts w:eastAsia="Times New Roman" w:cs="Arial"/>
                <w:b/>
                <w:bCs/>
                <w:lang w:eastAsia="en-GB"/>
              </w:rPr>
              <w:t>Residential Care</w:t>
            </w:r>
          </w:p>
        </w:tc>
        <w:tc>
          <w:tcPr>
            <w:tcW w:w="1135" w:type="dxa"/>
            <w:tcBorders>
              <w:top w:val="nil"/>
              <w:left w:val="nil"/>
              <w:bottom w:val="single" w:sz="4" w:space="0" w:color="auto"/>
              <w:right w:val="single" w:sz="4" w:space="0" w:color="auto"/>
            </w:tcBorders>
            <w:shd w:val="clear" w:color="auto" w:fill="auto"/>
            <w:noWrap/>
            <w:vAlign w:val="bottom"/>
            <w:hideMark/>
          </w:tcPr>
          <w:p w:rsidR="00C924A3" w:rsidRPr="000F0E5F" w:rsidRDefault="00C924A3" w:rsidP="005C4C7C">
            <w:pPr>
              <w:spacing w:after="0"/>
              <w:jc w:val="center"/>
              <w:rPr>
                <w:rFonts w:eastAsia="Times New Roman" w:cs="Arial"/>
                <w:lang w:eastAsia="en-GB"/>
              </w:rPr>
            </w:pPr>
            <w:r w:rsidRPr="000F0E5F">
              <w:rPr>
                <w:rFonts w:eastAsia="Times New Roman" w:cs="Arial"/>
                <w:lang w:eastAsia="en-GB"/>
              </w:rPr>
              <w:t>2.6%</w:t>
            </w:r>
          </w:p>
        </w:tc>
        <w:tc>
          <w:tcPr>
            <w:tcW w:w="1133" w:type="dxa"/>
            <w:tcBorders>
              <w:top w:val="nil"/>
              <w:left w:val="nil"/>
              <w:bottom w:val="single" w:sz="4" w:space="0" w:color="auto"/>
              <w:right w:val="single" w:sz="4" w:space="0" w:color="auto"/>
            </w:tcBorders>
            <w:shd w:val="clear" w:color="auto" w:fill="auto"/>
            <w:noWrap/>
            <w:vAlign w:val="bottom"/>
            <w:hideMark/>
          </w:tcPr>
          <w:p w:rsidR="00C924A3" w:rsidRPr="000F0E5F" w:rsidRDefault="00C924A3" w:rsidP="005C4C7C">
            <w:pPr>
              <w:spacing w:after="0"/>
              <w:jc w:val="center"/>
              <w:rPr>
                <w:rFonts w:eastAsia="Times New Roman" w:cs="Arial"/>
                <w:lang w:eastAsia="en-GB"/>
              </w:rPr>
            </w:pPr>
            <w:r w:rsidRPr="000F0E5F">
              <w:rPr>
                <w:rFonts w:eastAsia="Times New Roman" w:cs="Arial"/>
                <w:lang w:eastAsia="en-GB"/>
              </w:rPr>
              <w:t>2.9%</w:t>
            </w:r>
          </w:p>
        </w:tc>
        <w:tc>
          <w:tcPr>
            <w:tcW w:w="1135" w:type="dxa"/>
            <w:tcBorders>
              <w:top w:val="nil"/>
              <w:left w:val="nil"/>
              <w:bottom w:val="single" w:sz="4" w:space="0" w:color="auto"/>
              <w:right w:val="single" w:sz="4" w:space="0" w:color="auto"/>
            </w:tcBorders>
            <w:shd w:val="clear" w:color="auto" w:fill="auto"/>
            <w:noWrap/>
            <w:vAlign w:val="bottom"/>
            <w:hideMark/>
          </w:tcPr>
          <w:p w:rsidR="00C924A3" w:rsidRPr="000F0E5F" w:rsidRDefault="00C924A3" w:rsidP="005C4C7C">
            <w:pPr>
              <w:spacing w:after="0"/>
              <w:jc w:val="center"/>
              <w:rPr>
                <w:rFonts w:eastAsia="Times New Roman" w:cs="Arial"/>
                <w:lang w:eastAsia="en-GB"/>
              </w:rPr>
            </w:pPr>
            <w:r w:rsidRPr="000F0E5F">
              <w:rPr>
                <w:rFonts w:eastAsia="Times New Roman" w:cs="Arial"/>
                <w:lang w:eastAsia="en-GB"/>
              </w:rPr>
              <w:t>3.0%</w:t>
            </w:r>
          </w:p>
        </w:tc>
        <w:tc>
          <w:tcPr>
            <w:tcW w:w="1133" w:type="dxa"/>
            <w:tcBorders>
              <w:top w:val="nil"/>
              <w:left w:val="nil"/>
              <w:bottom w:val="single" w:sz="4" w:space="0" w:color="auto"/>
              <w:right w:val="single" w:sz="4" w:space="0" w:color="auto"/>
            </w:tcBorders>
            <w:shd w:val="clear" w:color="auto" w:fill="auto"/>
            <w:noWrap/>
            <w:vAlign w:val="bottom"/>
            <w:hideMark/>
          </w:tcPr>
          <w:p w:rsidR="00C924A3" w:rsidRPr="000F0E5F" w:rsidRDefault="00C924A3" w:rsidP="005C4C7C">
            <w:pPr>
              <w:spacing w:after="0"/>
              <w:jc w:val="center"/>
              <w:rPr>
                <w:rFonts w:eastAsia="Times New Roman" w:cs="Arial"/>
                <w:lang w:eastAsia="en-GB"/>
              </w:rPr>
            </w:pPr>
            <w:r w:rsidRPr="000F0E5F">
              <w:rPr>
                <w:rFonts w:eastAsia="Times New Roman" w:cs="Arial"/>
                <w:lang w:eastAsia="en-GB"/>
              </w:rPr>
              <w:t>3.1%</w:t>
            </w:r>
          </w:p>
        </w:tc>
        <w:tc>
          <w:tcPr>
            <w:tcW w:w="1135" w:type="dxa"/>
            <w:tcBorders>
              <w:top w:val="nil"/>
              <w:left w:val="nil"/>
              <w:bottom w:val="single" w:sz="4" w:space="0" w:color="auto"/>
              <w:right w:val="single" w:sz="4" w:space="0" w:color="auto"/>
            </w:tcBorders>
            <w:shd w:val="clear" w:color="auto" w:fill="auto"/>
            <w:noWrap/>
            <w:vAlign w:val="bottom"/>
            <w:hideMark/>
          </w:tcPr>
          <w:p w:rsidR="00C924A3" w:rsidRPr="000F0E5F" w:rsidRDefault="00C924A3" w:rsidP="005C4C7C">
            <w:pPr>
              <w:spacing w:after="0"/>
              <w:jc w:val="center"/>
              <w:rPr>
                <w:rFonts w:eastAsia="Times New Roman" w:cs="Arial"/>
                <w:lang w:eastAsia="en-GB"/>
              </w:rPr>
            </w:pPr>
            <w:r w:rsidRPr="000F0E5F">
              <w:rPr>
                <w:rFonts w:eastAsia="Times New Roman" w:cs="Arial"/>
                <w:lang w:eastAsia="en-GB"/>
              </w:rPr>
              <w:t>3.1%</w:t>
            </w:r>
          </w:p>
        </w:tc>
      </w:tr>
      <w:tr w:rsidR="00C924A3" w:rsidRPr="000F0E5F" w:rsidTr="005C4C7C">
        <w:trPr>
          <w:trHeight w:val="256"/>
        </w:trPr>
        <w:tc>
          <w:tcPr>
            <w:tcW w:w="2413" w:type="dxa"/>
            <w:tcBorders>
              <w:top w:val="nil"/>
              <w:left w:val="single" w:sz="4" w:space="0" w:color="auto"/>
              <w:bottom w:val="single" w:sz="4" w:space="0" w:color="auto"/>
              <w:right w:val="single" w:sz="4" w:space="0" w:color="auto"/>
            </w:tcBorders>
            <w:shd w:val="clear" w:color="auto" w:fill="auto"/>
            <w:noWrap/>
            <w:vAlign w:val="bottom"/>
            <w:hideMark/>
          </w:tcPr>
          <w:p w:rsidR="00C924A3" w:rsidRPr="000F0E5F" w:rsidRDefault="00C924A3" w:rsidP="005C4C7C">
            <w:pPr>
              <w:spacing w:after="0"/>
              <w:jc w:val="left"/>
              <w:rPr>
                <w:rFonts w:eastAsia="Times New Roman" w:cs="Arial"/>
                <w:b/>
                <w:bCs/>
                <w:lang w:eastAsia="en-GB"/>
              </w:rPr>
            </w:pPr>
            <w:r w:rsidRPr="000F0E5F">
              <w:rPr>
                <w:rFonts w:eastAsia="Times New Roman" w:cs="Arial"/>
                <w:b/>
                <w:bCs/>
                <w:lang w:eastAsia="en-GB"/>
              </w:rPr>
              <w:t>Domiciliary Care</w:t>
            </w:r>
          </w:p>
        </w:tc>
        <w:tc>
          <w:tcPr>
            <w:tcW w:w="1135" w:type="dxa"/>
            <w:tcBorders>
              <w:top w:val="nil"/>
              <w:left w:val="nil"/>
              <w:bottom w:val="single" w:sz="4" w:space="0" w:color="auto"/>
              <w:right w:val="single" w:sz="4" w:space="0" w:color="auto"/>
            </w:tcBorders>
            <w:shd w:val="clear" w:color="auto" w:fill="auto"/>
            <w:noWrap/>
            <w:vAlign w:val="bottom"/>
            <w:hideMark/>
          </w:tcPr>
          <w:p w:rsidR="00C924A3" w:rsidRPr="000F0E5F" w:rsidRDefault="00C924A3" w:rsidP="005C4C7C">
            <w:pPr>
              <w:spacing w:after="0"/>
              <w:jc w:val="center"/>
              <w:rPr>
                <w:rFonts w:eastAsia="Times New Roman" w:cs="Arial"/>
                <w:lang w:eastAsia="en-GB"/>
              </w:rPr>
            </w:pPr>
            <w:r w:rsidRPr="000F0E5F">
              <w:rPr>
                <w:rFonts w:eastAsia="Times New Roman" w:cs="Arial"/>
                <w:lang w:eastAsia="en-GB"/>
              </w:rPr>
              <w:t>2.5%</w:t>
            </w:r>
          </w:p>
        </w:tc>
        <w:tc>
          <w:tcPr>
            <w:tcW w:w="1133" w:type="dxa"/>
            <w:tcBorders>
              <w:top w:val="nil"/>
              <w:left w:val="nil"/>
              <w:bottom w:val="single" w:sz="4" w:space="0" w:color="auto"/>
              <w:right w:val="single" w:sz="4" w:space="0" w:color="auto"/>
            </w:tcBorders>
            <w:shd w:val="clear" w:color="auto" w:fill="auto"/>
            <w:noWrap/>
            <w:vAlign w:val="bottom"/>
            <w:hideMark/>
          </w:tcPr>
          <w:p w:rsidR="00C924A3" w:rsidRPr="000F0E5F" w:rsidRDefault="00C924A3" w:rsidP="005C4C7C">
            <w:pPr>
              <w:spacing w:after="0"/>
              <w:jc w:val="center"/>
              <w:rPr>
                <w:rFonts w:eastAsia="Times New Roman" w:cs="Arial"/>
                <w:lang w:eastAsia="en-GB"/>
              </w:rPr>
            </w:pPr>
            <w:r w:rsidRPr="000F0E5F">
              <w:rPr>
                <w:rFonts w:eastAsia="Times New Roman" w:cs="Arial"/>
                <w:lang w:eastAsia="en-GB"/>
              </w:rPr>
              <w:t>2.6%</w:t>
            </w:r>
          </w:p>
        </w:tc>
        <w:tc>
          <w:tcPr>
            <w:tcW w:w="1135" w:type="dxa"/>
            <w:tcBorders>
              <w:top w:val="nil"/>
              <w:left w:val="nil"/>
              <w:bottom w:val="single" w:sz="4" w:space="0" w:color="auto"/>
              <w:right w:val="single" w:sz="4" w:space="0" w:color="auto"/>
            </w:tcBorders>
            <w:shd w:val="clear" w:color="auto" w:fill="auto"/>
            <w:noWrap/>
            <w:vAlign w:val="bottom"/>
            <w:hideMark/>
          </w:tcPr>
          <w:p w:rsidR="00C924A3" w:rsidRPr="000F0E5F" w:rsidRDefault="00C924A3" w:rsidP="005C4C7C">
            <w:pPr>
              <w:spacing w:after="0"/>
              <w:jc w:val="center"/>
              <w:rPr>
                <w:rFonts w:eastAsia="Times New Roman" w:cs="Arial"/>
                <w:lang w:eastAsia="en-GB"/>
              </w:rPr>
            </w:pPr>
            <w:r w:rsidRPr="000F0E5F">
              <w:rPr>
                <w:rFonts w:eastAsia="Times New Roman" w:cs="Arial"/>
                <w:lang w:eastAsia="en-GB"/>
              </w:rPr>
              <w:t>2.7%</w:t>
            </w:r>
          </w:p>
        </w:tc>
        <w:tc>
          <w:tcPr>
            <w:tcW w:w="1133" w:type="dxa"/>
            <w:tcBorders>
              <w:top w:val="nil"/>
              <w:left w:val="nil"/>
              <w:bottom w:val="single" w:sz="4" w:space="0" w:color="auto"/>
              <w:right w:val="single" w:sz="4" w:space="0" w:color="auto"/>
            </w:tcBorders>
            <w:shd w:val="clear" w:color="auto" w:fill="auto"/>
            <w:noWrap/>
            <w:vAlign w:val="bottom"/>
            <w:hideMark/>
          </w:tcPr>
          <w:p w:rsidR="00C924A3" w:rsidRPr="000F0E5F" w:rsidRDefault="00C924A3" w:rsidP="005C4C7C">
            <w:pPr>
              <w:spacing w:after="0"/>
              <w:jc w:val="center"/>
              <w:rPr>
                <w:rFonts w:eastAsia="Times New Roman" w:cs="Arial"/>
                <w:lang w:eastAsia="en-GB"/>
              </w:rPr>
            </w:pPr>
            <w:r w:rsidRPr="000F0E5F">
              <w:rPr>
                <w:rFonts w:eastAsia="Times New Roman" w:cs="Arial"/>
                <w:lang w:eastAsia="en-GB"/>
              </w:rPr>
              <w:t>2.7%</w:t>
            </w:r>
          </w:p>
        </w:tc>
        <w:tc>
          <w:tcPr>
            <w:tcW w:w="1135" w:type="dxa"/>
            <w:tcBorders>
              <w:top w:val="nil"/>
              <w:left w:val="nil"/>
              <w:bottom w:val="single" w:sz="4" w:space="0" w:color="auto"/>
              <w:right w:val="single" w:sz="4" w:space="0" w:color="auto"/>
            </w:tcBorders>
            <w:shd w:val="clear" w:color="auto" w:fill="auto"/>
            <w:noWrap/>
            <w:vAlign w:val="bottom"/>
            <w:hideMark/>
          </w:tcPr>
          <w:p w:rsidR="00C924A3" w:rsidRPr="000F0E5F" w:rsidRDefault="00C924A3" w:rsidP="005C4C7C">
            <w:pPr>
              <w:spacing w:after="0"/>
              <w:jc w:val="center"/>
              <w:rPr>
                <w:rFonts w:eastAsia="Times New Roman" w:cs="Arial"/>
                <w:lang w:eastAsia="en-GB"/>
              </w:rPr>
            </w:pPr>
            <w:r w:rsidRPr="000F0E5F">
              <w:rPr>
                <w:rFonts w:eastAsia="Times New Roman" w:cs="Arial"/>
                <w:lang w:eastAsia="en-GB"/>
              </w:rPr>
              <w:t>2.7%</w:t>
            </w:r>
          </w:p>
        </w:tc>
      </w:tr>
      <w:tr w:rsidR="00C924A3" w:rsidRPr="000F0E5F" w:rsidTr="005C4C7C">
        <w:trPr>
          <w:trHeight w:val="256"/>
        </w:trPr>
        <w:tc>
          <w:tcPr>
            <w:tcW w:w="2413" w:type="dxa"/>
            <w:tcBorders>
              <w:top w:val="nil"/>
              <w:left w:val="single" w:sz="4" w:space="0" w:color="auto"/>
              <w:bottom w:val="single" w:sz="4" w:space="0" w:color="auto"/>
              <w:right w:val="single" w:sz="4" w:space="0" w:color="auto"/>
            </w:tcBorders>
            <w:shd w:val="clear" w:color="auto" w:fill="auto"/>
            <w:noWrap/>
            <w:vAlign w:val="bottom"/>
            <w:hideMark/>
          </w:tcPr>
          <w:p w:rsidR="00C924A3" w:rsidRPr="000F0E5F" w:rsidRDefault="00C924A3" w:rsidP="005C4C7C">
            <w:pPr>
              <w:spacing w:after="0"/>
              <w:jc w:val="left"/>
              <w:rPr>
                <w:rFonts w:eastAsia="Times New Roman" w:cs="Arial"/>
                <w:b/>
                <w:bCs/>
                <w:lang w:eastAsia="en-GB"/>
              </w:rPr>
            </w:pPr>
            <w:r w:rsidRPr="000F0E5F">
              <w:rPr>
                <w:rFonts w:eastAsia="Times New Roman" w:cs="Arial"/>
                <w:b/>
                <w:bCs/>
                <w:lang w:eastAsia="en-GB"/>
              </w:rPr>
              <w:t>RPI</w:t>
            </w:r>
          </w:p>
        </w:tc>
        <w:tc>
          <w:tcPr>
            <w:tcW w:w="1135" w:type="dxa"/>
            <w:tcBorders>
              <w:top w:val="nil"/>
              <w:left w:val="nil"/>
              <w:bottom w:val="single" w:sz="4" w:space="0" w:color="auto"/>
              <w:right w:val="single" w:sz="4" w:space="0" w:color="auto"/>
            </w:tcBorders>
            <w:shd w:val="clear" w:color="auto" w:fill="auto"/>
            <w:noWrap/>
            <w:vAlign w:val="bottom"/>
            <w:hideMark/>
          </w:tcPr>
          <w:p w:rsidR="00C924A3" w:rsidRPr="000F0E5F" w:rsidRDefault="00C924A3" w:rsidP="005C4C7C">
            <w:pPr>
              <w:spacing w:after="0"/>
              <w:jc w:val="center"/>
              <w:rPr>
                <w:rFonts w:eastAsia="Times New Roman" w:cs="Arial"/>
                <w:lang w:eastAsia="en-GB"/>
              </w:rPr>
            </w:pPr>
            <w:r w:rsidRPr="000F0E5F">
              <w:rPr>
                <w:rFonts w:eastAsia="Times New Roman" w:cs="Arial"/>
                <w:lang w:eastAsia="en-GB"/>
              </w:rPr>
              <w:t>2.2%</w:t>
            </w:r>
          </w:p>
        </w:tc>
        <w:tc>
          <w:tcPr>
            <w:tcW w:w="1133" w:type="dxa"/>
            <w:tcBorders>
              <w:top w:val="nil"/>
              <w:left w:val="nil"/>
              <w:bottom w:val="single" w:sz="4" w:space="0" w:color="auto"/>
              <w:right w:val="single" w:sz="4" w:space="0" w:color="auto"/>
            </w:tcBorders>
            <w:shd w:val="clear" w:color="auto" w:fill="auto"/>
            <w:noWrap/>
            <w:vAlign w:val="bottom"/>
            <w:hideMark/>
          </w:tcPr>
          <w:p w:rsidR="00C924A3" w:rsidRPr="000F0E5F" w:rsidRDefault="00C924A3" w:rsidP="005C4C7C">
            <w:pPr>
              <w:spacing w:after="0"/>
              <w:jc w:val="center"/>
              <w:rPr>
                <w:rFonts w:eastAsia="Times New Roman" w:cs="Arial"/>
                <w:lang w:eastAsia="en-GB"/>
              </w:rPr>
            </w:pPr>
            <w:r w:rsidRPr="000F0E5F">
              <w:rPr>
                <w:rFonts w:eastAsia="Times New Roman" w:cs="Arial"/>
                <w:lang w:eastAsia="en-GB"/>
              </w:rPr>
              <w:t>3.0%</w:t>
            </w:r>
          </w:p>
        </w:tc>
        <w:tc>
          <w:tcPr>
            <w:tcW w:w="1135" w:type="dxa"/>
            <w:tcBorders>
              <w:top w:val="nil"/>
              <w:left w:val="nil"/>
              <w:bottom w:val="single" w:sz="4" w:space="0" w:color="auto"/>
              <w:right w:val="single" w:sz="4" w:space="0" w:color="auto"/>
            </w:tcBorders>
            <w:shd w:val="clear" w:color="auto" w:fill="auto"/>
            <w:noWrap/>
            <w:vAlign w:val="bottom"/>
            <w:hideMark/>
          </w:tcPr>
          <w:p w:rsidR="00C924A3" w:rsidRPr="000F0E5F" w:rsidRDefault="00C924A3" w:rsidP="005C4C7C">
            <w:pPr>
              <w:spacing w:after="0"/>
              <w:jc w:val="center"/>
              <w:rPr>
                <w:rFonts w:eastAsia="Times New Roman" w:cs="Arial"/>
                <w:lang w:eastAsia="en-GB"/>
              </w:rPr>
            </w:pPr>
            <w:r w:rsidRPr="000F0E5F">
              <w:rPr>
                <w:rFonts w:eastAsia="Times New Roman" w:cs="Arial"/>
                <w:lang w:eastAsia="en-GB"/>
              </w:rPr>
              <w:t>3.1%</w:t>
            </w:r>
          </w:p>
        </w:tc>
        <w:tc>
          <w:tcPr>
            <w:tcW w:w="1133" w:type="dxa"/>
            <w:tcBorders>
              <w:top w:val="nil"/>
              <w:left w:val="nil"/>
              <w:bottom w:val="single" w:sz="4" w:space="0" w:color="auto"/>
              <w:right w:val="single" w:sz="4" w:space="0" w:color="auto"/>
            </w:tcBorders>
            <w:shd w:val="clear" w:color="auto" w:fill="auto"/>
            <w:noWrap/>
            <w:vAlign w:val="bottom"/>
            <w:hideMark/>
          </w:tcPr>
          <w:p w:rsidR="00C924A3" w:rsidRPr="000F0E5F" w:rsidRDefault="00C924A3" w:rsidP="005C4C7C">
            <w:pPr>
              <w:spacing w:after="0"/>
              <w:jc w:val="center"/>
              <w:rPr>
                <w:rFonts w:eastAsia="Times New Roman" w:cs="Arial"/>
                <w:lang w:eastAsia="en-GB"/>
              </w:rPr>
            </w:pPr>
            <w:r w:rsidRPr="000F0E5F">
              <w:rPr>
                <w:rFonts w:eastAsia="Times New Roman" w:cs="Arial"/>
                <w:lang w:eastAsia="en-GB"/>
              </w:rPr>
              <w:t>3.1%</w:t>
            </w:r>
          </w:p>
        </w:tc>
        <w:tc>
          <w:tcPr>
            <w:tcW w:w="1135" w:type="dxa"/>
            <w:tcBorders>
              <w:top w:val="nil"/>
              <w:left w:val="nil"/>
              <w:bottom w:val="single" w:sz="4" w:space="0" w:color="auto"/>
              <w:right w:val="single" w:sz="4" w:space="0" w:color="auto"/>
            </w:tcBorders>
            <w:shd w:val="clear" w:color="auto" w:fill="auto"/>
            <w:noWrap/>
            <w:vAlign w:val="bottom"/>
            <w:hideMark/>
          </w:tcPr>
          <w:p w:rsidR="00C924A3" w:rsidRPr="000F0E5F" w:rsidRDefault="00C924A3" w:rsidP="005C4C7C">
            <w:pPr>
              <w:spacing w:after="0"/>
              <w:jc w:val="center"/>
              <w:rPr>
                <w:rFonts w:eastAsia="Times New Roman" w:cs="Arial"/>
                <w:lang w:eastAsia="en-GB"/>
              </w:rPr>
            </w:pPr>
            <w:r w:rsidRPr="000F0E5F">
              <w:rPr>
                <w:rFonts w:eastAsia="Times New Roman" w:cs="Arial"/>
                <w:lang w:eastAsia="en-GB"/>
              </w:rPr>
              <w:t>3.1%</w:t>
            </w:r>
          </w:p>
        </w:tc>
      </w:tr>
    </w:tbl>
    <w:p w:rsidR="001547F8" w:rsidRPr="000F0E5F" w:rsidRDefault="001547F8" w:rsidP="003D58F1">
      <w:pPr>
        <w:spacing w:after="0"/>
        <w:rPr>
          <w:rFonts w:cs="Arial"/>
        </w:rPr>
      </w:pPr>
    </w:p>
    <w:p w:rsidR="001547F8" w:rsidRPr="000F0E5F" w:rsidRDefault="001547F8" w:rsidP="003D58F1">
      <w:pPr>
        <w:spacing w:after="0"/>
        <w:rPr>
          <w:rFonts w:cs="Arial"/>
        </w:rPr>
      </w:pPr>
    </w:p>
    <w:p w:rsidR="001547F8" w:rsidRPr="000F0E5F" w:rsidRDefault="001547F8" w:rsidP="003D58F1">
      <w:pPr>
        <w:spacing w:after="0"/>
        <w:rPr>
          <w:rFonts w:cs="Arial"/>
        </w:rPr>
      </w:pPr>
    </w:p>
    <w:p w:rsidR="001547F8" w:rsidRPr="000F0E5F" w:rsidRDefault="001547F8" w:rsidP="003D58F1">
      <w:pPr>
        <w:spacing w:after="0"/>
        <w:rPr>
          <w:rFonts w:cs="Arial"/>
        </w:rPr>
      </w:pPr>
    </w:p>
    <w:p w:rsidR="001547F8" w:rsidRPr="000F0E5F" w:rsidRDefault="001547F8" w:rsidP="003D58F1">
      <w:pPr>
        <w:spacing w:after="0"/>
        <w:rPr>
          <w:rFonts w:cs="Arial"/>
        </w:rPr>
      </w:pPr>
    </w:p>
    <w:p w:rsidR="001547F8" w:rsidRPr="000F0E5F" w:rsidRDefault="001547F8" w:rsidP="003D58F1">
      <w:pPr>
        <w:spacing w:after="0"/>
        <w:rPr>
          <w:rFonts w:cs="Arial"/>
        </w:rPr>
      </w:pPr>
    </w:p>
    <w:p w:rsidR="005C4C7C" w:rsidRDefault="005C4C7C" w:rsidP="005C4C7C">
      <w:pPr>
        <w:pStyle w:val="ListParagraph"/>
        <w:spacing w:after="0"/>
        <w:ind w:left="780"/>
        <w:rPr>
          <w:rFonts w:cs="Arial"/>
        </w:rPr>
      </w:pPr>
    </w:p>
    <w:p w:rsidR="00DD534F" w:rsidRPr="00DD534F" w:rsidRDefault="00DD534F" w:rsidP="00DD534F">
      <w:pPr>
        <w:pStyle w:val="ListParagraph"/>
        <w:spacing w:after="0"/>
        <w:ind w:left="780"/>
        <w:rPr>
          <w:rFonts w:cs="Arial"/>
        </w:rPr>
      </w:pPr>
    </w:p>
    <w:p w:rsidR="00DD534F" w:rsidRDefault="00DD534F" w:rsidP="00DD534F">
      <w:pPr>
        <w:pStyle w:val="ListParagraph"/>
        <w:spacing w:after="0"/>
        <w:ind w:left="780"/>
        <w:rPr>
          <w:rFonts w:cs="Arial"/>
        </w:rPr>
      </w:pPr>
    </w:p>
    <w:p w:rsidR="001547F8" w:rsidRPr="000F0E5F" w:rsidRDefault="00DD534F" w:rsidP="002E3569">
      <w:pPr>
        <w:pStyle w:val="ListParagraph"/>
        <w:numPr>
          <w:ilvl w:val="0"/>
          <w:numId w:val="30"/>
        </w:numPr>
        <w:spacing w:after="0"/>
        <w:rPr>
          <w:rFonts w:cs="Arial"/>
        </w:rPr>
      </w:pPr>
      <w:r>
        <w:rPr>
          <w:rFonts w:cs="Arial"/>
        </w:rPr>
        <w:t>£</w:t>
      </w:r>
      <w:r w:rsidR="00CB1B68" w:rsidRPr="000F0E5F">
        <w:rPr>
          <w:rFonts w:cs="Arial"/>
        </w:rPr>
        <w:t>12.3</w:t>
      </w:r>
      <w:r w:rsidR="000E136B" w:rsidRPr="000F0E5F">
        <w:rPr>
          <w:rFonts w:cs="Arial"/>
        </w:rPr>
        <w:t>m for the provision of waste disposal</w:t>
      </w:r>
      <w:r w:rsidR="00D53429" w:rsidRPr="000F0E5F">
        <w:rPr>
          <w:rFonts w:cs="Arial"/>
        </w:rPr>
        <w:t>.</w:t>
      </w:r>
      <w:r w:rsidR="006B42B3" w:rsidRPr="000F0E5F">
        <w:rPr>
          <w:rFonts w:cs="Arial"/>
        </w:rPr>
        <w:t xml:space="preserve"> </w:t>
      </w:r>
    </w:p>
    <w:p w:rsidR="001C5326" w:rsidRDefault="00C924A3" w:rsidP="00DD534F">
      <w:pPr>
        <w:pStyle w:val="ListParagraph"/>
        <w:numPr>
          <w:ilvl w:val="0"/>
          <w:numId w:val="30"/>
        </w:numPr>
        <w:autoSpaceDE/>
        <w:autoSpaceDN/>
        <w:adjustRightInd/>
        <w:spacing w:after="0"/>
        <w:rPr>
          <w:rFonts w:cs="Arial"/>
        </w:rPr>
      </w:pPr>
      <w:r w:rsidRPr="005C4C7C">
        <w:rPr>
          <w:rFonts w:cs="Arial"/>
        </w:rPr>
        <w:t>£5.6m on children's</w:t>
      </w:r>
      <w:r w:rsidR="00C92242" w:rsidRPr="005C4C7C">
        <w:rPr>
          <w:rFonts w:cs="Arial"/>
        </w:rPr>
        <w:t xml:space="preserve"> social care including agency payments, residence orders, foster and other allowances and payments to </w:t>
      </w:r>
      <w:r w:rsidR="004C283F">
        <w:rPr>
          <w:rFonts w:cs="Arial"/>
        </w:rPr>
        <w:t>health</w:t>
      </w:r>
      <w:r w:rsidR="00C92242" w:rsidRPr="005C4C7C">
        <w:rPr>
          <w:rFonts w:cs="Arial"/>
        </w:rPr>
        <w:t xml:space="preserve">. The payments to the </w:t>
      </w:r>
      <w:r w:rsidR="004C283F">
        <w:rPr>
          <w:rFonts w:cs="Arial"/>
        </w:rPr>
        <w:t>health service</w:t>
      </w:r>
      <w:r w:rsidR="00C92242" w:rsidRPr="005C4C7C">
        <w:rPr>
          <w:rFonts w:cs="Arial"/>
        </w:rPr>
        <w:t xml:space="preserve"> are assumed to be at 1% in line with the pay award while the agency payments are capped at 2% per annum. Other allowances are generally at 2.2%</w:t>
      </w:r>
      <w:r w:rsidRPr="005C4C7C">
        <w:rPr>
          <w:rFonts w:cs="Arial"/>
        </w:rPr>
        <w:t>.</w:t>
      </w:r>
    </w:p>
    <w:p w:rsidR="00DD534F" w:rsidRPr="005C4C7C" w:rsidRDefault="00DD534F" w:rsidP="00DD534F">
      <w:pPr>
        <w:pStyle w:val="ListParagraph"/>
        <w:autoSpaceDE/>
        <w:autoSpaceDN/>
        <w:adjustRightInd/>
        <w:spacing w:after="0"/>
        <w:ind w:left="780"/>
        <w:rPr>
          <w:rFonts w:cs="Arial"/>
        </w:rPr>
      </w:pPr>
    </w:p>
    <w:p w:rsidR="00641CBE" w:rsidRDefault="00641CBE" w:rsidP="00B73C02">
      <w:pPr>
        <w:spacing w:after="0"/>
        <w:rPr>
          <w:rFonts w:cs="Arial"/>
        </w:rPr>
      </w:pPr>
      <w:r>
        <w:rPr>
          <w:rFonts w:cs="Arial"/>
        </w:rPr>
        <w:t xml:space="preserve">The </w:t>
      </w:r>
      <w:r w:rsidR="00C924A3">
        <w:rPr>
          <w:rFonts w:cs="Arial"/>
        </w:rPr>
        <w:t xml:space="preserve">main changes on </w:t>
      </w:r>
      <w:r w:rsidR="00E14D91">
        <w:rPr>
          <w:rFonts w:cs="Arial"/>
        </w:rPr>
        <w:t xml:space="preserve">contractual </w:t>
      </w:r>
      <w:r w:rsidR="00C924A3">
        <w:rPr>
          <w:rFonts w:cs="Arial"/>
        </w:rPr>
        <w:t xml:space="preserve">price </w:t>
      </w:r>
      <w:r w:rsidR="00E14D91">
        <w:rPr>
          <w:rFonts w:cs="Arial"/>
        </w:rPr>
        <w:t xml:space="preserve">inflation </w:t>
      </w:r>
      <w:r>
        <w:rPr>
          <w:rFonts w:cs="Arial"/>
        </w:rPr>
        <w:t>since the last MTFS are:</w:t>
      </w:r>
    </w:p>
    <w:p w:rsidR="00641CBE" w:rsidRPr="00B73C02" w:rsidRDefault="00641CBE" w:rsidP="00B73C02">
      <w:pPr>
        <w:spacing w:after="0"/>
        <w:ind w:left="567"/>
        <w:rPr>
          <w:rFonts w:cs="Arial"/>
          <w:color w:val="auto"/>
        </w:rPr>
      </w:pPr>
    </w:p>
    <w:p w:rsidR="00641CBE" w:rsidRPr="00253113" w:rsidRDefault="00C924A3" w:rsidP="00B73C02">
      <w:pPr>
        <w:pStyle w:val="ListParagraph"/>
        <w:numPr>
          <w:ilvl w:val="0"/>
          <w:numId w:val="36"/>
        </w:numPr>
        <w:spacing w:after="0"/>
        <w:ind w:left="567"/>
        <w:rPr>
          <w:rFonts w:cs="Arial"/>
          <w:color w:val="auto"/>
        </w:rPr>
      </w:pPr>
      <w:r w:rsidRPr="00B73C02">
        <w:rPr>
          <w:rFonts w:cs="Arial"/>
          <w:color w:val="auto"/>
        </w:rPr>
        <w:t>A</w:t>
      </w:r>
      <w:r w:rsidR="00641CBE" w:rsidRPr="00B73C02">
        <w:rPr>
          <w:rFonts w:cs="Arial"/>
          <w:color w:val="auto"/>
        </w:rPr>
        <w:t xml:space="preserve"> reduction in the provision for waste costs of £5.8m</w:t>
      </w:r>
      <w:r w:rsidR="00B42B6E">
        <w:rPr>
          <w:rFonts w:cs="Arial"/>
          <w:color w:val="auto"/>
        </w:rPr>
        <w:t xml:space="preserve"> overall</w:t>
      </w:r>
      <w:r w:rsidR="00641CBE" w:rsidRPr="00B73C02">
        <w:rPr>
          <w:rFonts w:cs="Arial"/>
          <w:color w:val="auto"/>
        </w:rPr>
        <w:t xml:space="preserve">. The </w:t>
      </w:r>
      <w:r w:rsidR="00641CBE" w:rsidRPr="00B73C02">
        <w:rPr>
          <w:color w:val="auto"/>
        </w:rPr>
        <w:t xml:space="preserve">movements between this forecast and the </w:t>
      </w:r>
      <w:r w:rsidR="00DD534F">
        <w:rPr>
          <w:color w:val="auto"/>
        </w:rPr>
        <w:t xml:space="preserve">previous </w:t>
      </w:r>
      <w:r w:rsidR="00641CBE" w:rsidRPr="00B73C02">
        <w:rPr>
          <w:color w:val="auto"/>
        </w:rPr>
        <w:t xml:space="preserve">version </w:t>
      </w:r>
      <w:r w:rsidR="00B42B6E">
        <w:rPr>
          <w:color w:val="auto"/>
        </w:rPr>
        <w:t xml:space="preserve">reflect further analysis </w:t>
      </w:r>
      <w:r w:rsidR="00641CBE" w:rsidRPr="00B73C02">
        <w:rPr>
          <w:color w:val="auto"/>
        </w:rPr>
        <w:t xml:space="preserve">around tonnage diversion rates and the market for offtakes </w:t>
      </w:r>
      <w:r w:rsidR="00B42B6E">
        <w:rPr>
          <w:color w:val="auto"/>
        </w:rPr>
        <w:t xml:space="preserve">which will reduce the </w:t>
      </w:r>
      <w:r w:rsidR="008C737B">
        <w:rPr>
          <w:color w:val="auto"/>
        </w:rPr>
        <w:t>quantities</w:t>
      </w:r>
      <w:r w:rsidR="00B42B6E">
        <w:rPr>
          <w:color w:val="auto"/>
        </w:rPr>
        <w:t xml:space="preserve"> that need to be sent to landfill.</w:t>
      </w:r>
      <w:r w:rsidR="00641CBE" w:rsidRPr="00B73C02">
        <w:rPr>
          <w:color w:val="auto"/>
        </w:rPr>
        <w:t> </w:t>
      </w:r>
    </w:p>
    <w:p w:rsidR="00253113" w:rsidRPr="00B73C02" w:rsidRDefault="00253113" w:rsidP="00253113">
      <w:pPr>
        <w:pStyle w:val="ListParagraph"/>
        <w:spacing w:after="0"/>
        <w:ind w:left="567"/>
        <w:rPr>
          <w:rFonts w:cs="Arial"/>
          <w:color w:val="auto"/>
        </w:rPr>
      </w:pPr>
    </w:p>
    <w:p w:rsidR="00E62ADD" w:rsidRPr="00E62ADD" w:rsidRDefault="00641CBE" w:rsidP="00B42B6E">
      <w:pPr>
        <w:pStyle w:val="ListParagraph"/>
        <w:numPr>
          <w:ilvl w:val="0"/>
          <w:numId w:val="36"/>
        </w:numPr>
        <w:spacing w:after="0"/>
        <w:ind w:left="567"/>
        <w:rPr>
          <w:rFonts w:cs="Arial"/>
          <w:color w:val="auto"/>
        </w:rPr>
      </w:pPr>
      <w:r w:rsidRPr="00B42B6E">
        <w:rPr>
          <w:color w:val="auto"/>
        </w:rPr>
        <w:t xml:space="preserve">The adults social care has seen a net reduction in its price pressures </w:t>
      </w:r>
      <w:r w:rsidR="00B42B6E" w:rsidRPr="00B42B6E">
        <w:rPr>
          <w:color w:val="auto"/>
        </w:rPr>
        <w:t xml:space="preserve">of £5.6m overall, </w:t>
      </w:r>
      <w:r w:rsidR="00B42B6E" w:rsidRPr="00253113">
        <w:rPr>
          <w:color w:val="auto"/>
        </w:rPr>
        <w:t xml:space="preserve">primarily as a result of </w:t>
      </w:r>
      <w:r w:rsidR="00DD534F">
        <w:rPr>
          <w:color w:val="auto"/>
        </w:rPr>
        <w:t xml:space="preserve">estimated </w:t>
      </w:r>
      <w:r w:rsidR="00B42B6E" w:rsidRPr="00253113">
        <w:rPr>
          <w:color w:val="auto"/>
        </w:rPr>
        <w:t xml:space="preserve">offsetting increases in service user income for those individuals who are financially assessed as being able to </w:t>
      </w:r>
      <w:r w:rsidR="00DD534F">
        <w:rPr>
          <w:color w:val="auto"/>
        </w:rPr>
        <w:t>meet</w:t>
      </w:r>
      <w:r w:rsidR="00B42B6E" w:rsidRPr="00253113">
        <w:rPr>
          <w:color w:val="auto"/>
        </w:rPr>
        <w:t xml:space="preserve"> the additional cost.  </w:t>
      </w:r>
    </w:p>
    <w:p w:rsidR="00E62ADD" w:rsidRPr="00E62ADD" w:rsidRDefault="00E62ADD" w:rsidP="00E62ADD">
      <w:pPr>
        <w:pStyle w:val="ListParagraph"/>
        <w:rPr>
          <w:rFonts w:cs="Arial"/>
          <w:color w:val="auto"/>
        </w:rPr>
      </w:pPr>
    </w:p>
    <w:p w:rsidR="00641CBE" w:rsidRDefault="00161C22" w:rsidP="00B42B6E">
      <w:pPr>
        <w:pStyle w:val="ListParagraph"/>
        <w:numPr>
          <w:ilvl w:val="0"/>
          <w:numId w:val="36"/>
        </w:numPr>
        <w:spacing w:after="0"/>
        <w:ind w:left="567"/>
        <w:rPr>
          <w:rFonts w:cs="Arial"/>
          <w:color w:val="auto"/>
        </w:rPr>
      </w:pPr>
      <w:r w:rsidRPr="00B42B6E">
        <w:rPr>
          <w:rFonts w:cs="Arial"/>
          <w:color w:val="auto"/>
        </w:rPr>
        <w:t xml:space="preserve">A reduction in provision for concessionary travel of £2.6m </w:t>
      </w:r>
      <w:r w:rsidR="00B42B6E">
        <w:rPr>
          <w:rFonts w:cs="Arial"/>
          <w:color w:val="auto"/>
        </w:rPr>
        <w:t xml:space="preserve">overall </w:t>
      </w:r>
      <w:r w:rsidRPr="00B42B6E">
        <w:rPr>
          <w:rFonts w:cs="Arial"/>
          <w:color w:val="auto"/>
        </w:rPr>
        <w:t>reflect</w:t>
      </w:r>
      <w:r w:rsidR="00B42B6E">
        <w:rPr>
          <w:rFonts w:cs="Arial"/>
          <w:color w:val="auto"/>
        </w:rPr>
        <w:t>ing</w:t>
      </w:r>
      <w:r w:rsidRPr="00B42B6E">
        <w:rPr>
          <w:rFonts w:cs="Arial"/>
          <w:color w:val="auto"/>
        </w:rPr>
        <w:t xml:space="preserve"> the application of a reduced price increase based on the current agreements that are in place.</w:t>
      </w:r>
    </w:p>
    <w:p w:rsidR="00253113" w:rsidRPr="00253113" w:rsidRDefault="00253113" w:rsidP="00253113">
      <w:pPr>
        <w:pStyle w:val="ListParagraph"/>
        <w:rPr>
          <w:rFonts w:cs="Arial"/>
          <w:color w:val="auto"/>
        </w:rPr>
      </w:pPr>
    </w:p>
    <w:p w:rsidR="00641CBE" w:rsidRPr="00A122E8" w:rsidRDefault="00641CBE" w:rsidP="00B73C02">
      <w:pPr>
        <w:pStyle w:val="ListParagraph"/>
        <w:numPr>
          <w:ilvl w:val="0"/>
          <w:numId w:val="36"/>
        </w:numPr>
        <w:spacing w:after="0"/>
        <w:ind w:left="567"/>
        <w:rPr>
          <w:rFonts w:cs="Arial"/>
          <w:color w:val="auto"/>
        </w:rPr>
      </w:pPr>
      <w:r w:rsidRPr="00B73C02">
        <w:rPr>
          <w:color w:val="auto"/>
        </w:rPr>
        <w:t xml:space="preserve">An increase in the </w:t>
      </w:r>
      <w:r w:rsidR="009E21B7" w:rsidRPr="00B73C02">
        <w:rPr>
          <w:color w:val="auto"/>
        </w:rPr>
        <w:t xml:space="preserve">provision for price inflation on children social care </w:t>
      </w:r>
      <w:r w:rsidR="00D03FF9">
        <w:rPr>
          <w:color w:val="auto"/>
        </w:rPr>
        <w:t xml:space="preserve">overall of </w:t>
      </w:r>
      <w:r w:rsidR="009E21B7" w:rsidRPr="00B73C02">
        <w:rPr>
          <w:color w:val="auto"/>
        </w:rPr>
        <w:t>£3.1m</w:t>
      </w:r>
      <w:r w:rsidR="00D03FF9">
        <w:rPr>
          <w:color w:val="auto"/>
        </w:rPr>
        <w:t xml:space="preserve"> reflecting updated assumptions around increases to </w:t>
      </w:r>
      <w:r w:rsidR="003E0C9F">
        <w:rPr>
          <w:color w:val="auto"/>
        </w:rPr>
        <w:t xml:space="preserve">agency payments, foster care allowances and residence orders with most other allowances increasing in line with </w:t>
      </w:r>
      <w:r w:rsidR="007B3106">
        <w:rPr>
          <w:color w:val="auto"/>
        </w:rPr>
        <w:t>inflation.</w:t>
      </w:r>
    </w:p>
    <w:p w:rsidR="00A122E8" w:rsidRPr="00A122E8" w:rsidRDefault="00A122E8" w:rsidP="00A122E8">
      <w:pPr>
        <w:pStyle w:val="ListParagraph"/>
        <w:rPr>
          <w:rFonts w:cs="Arial"/>
          <w:color w:val="auto"/>
        </w:rPr>
      </w:pPr>
    </w:p>
    <w:p w:rsidR="00A122E8" w:rsidRDefault="00A834FF" w:rsidP="00B73C02">
      <w:pPr>
        <w:pStyle w:val="ListParagraph"/>
        <w:numPr>
          <w:ilvl w:val="0"/>
          <w:numId w:val="36"/>
        </w:numPr>
        <w:spacing w:after="0"/>
        <w:ind w:left="567"/>
        <w:rPr>
          <w:rFonts w:cs="Arial"/>
          <w:color w:val="auto"/>
        </w:rPr>
      </w:pPr>
      <w:r>
        <w:rPr>
          <w:rFonts w:cs="Arial"/>
          <w:color w:val="auto"/>
        </w:rPr>
        <w:t>A reduction in the prices for bus operators and travelcare of £2.8m</w:t>
      </w:r>
    </w:p>
    <w:p w:rsidR="00A834FF" w:rsidRPr="00A834FF" w:rsidRDefault="00A834FF" w:rsidP="00A834FF">
      <w:pPr>
        <w:pStyle w:val="ListParagraph"/>
        <w:rPr>
          <w:rFonts w:cs="Arial"/>
          <w:color w:val="auto"/>
        </w:rPr>
      </w:pPr>
    </w:p>
    <w:p w:rsidR="00A834FF" w:rsidRDefault="00A834FF" w:rsidP="00B73C02">
      <w:pPr>
        <w:pStyle w:val="ListParagraph"/>
        <w:numPr>
          <w:ilvl w:val="0"/>
          <w:numId w:val="36"/>
        </w:numPr>
        <w:spacing w:after="0"/>
        <w:ind w:left="567"/>
        <w:rPr>
          <w:rFonts w:cs="Arial"/>
          <w:color w:val="auto"/>
        </w:rPr>
      </w:pPr>
      <w:r>
        <w:rPr>
          <w:rFonts w:cs="Arial"/>
          <w:color w:val="auto"/>
        </w:rPr>
        <w:t>A reduction in the provision of the cost of street lighting to reflect the latest estimate of costs £2.2m</w:t>
      </w:r>
      <w:r w:rsidR="00BD5ED1">
        <w:rPr>
          <w:rFonts w:cs="Arial"/>
          <w:color w:val="auto"/>
        </w:rPr>
        <w:t xml:space="preserve">. </w:t>
      </w:r>
    </w:p>
    <w:p w:rsidR="00A834FF" w:rsidRPr="00A834FF" w:rsidRDefault="00A834FF" w:rsidP="00A834FF">
      <w:pPr>
        <w:pStyle w:val="ListParagraph"/>
        <w:rPr>
          <w:rFonts w:cs="Arial"/>
          <w:color w:val="auto"/>
        </w:rPr>
      </w:pPr>
    </w:p>
    <w:p w:rsidR="00A834FF" w:rsidRPr="004C4208" w:rsidRDefault="00A834FF" w:rsidP="00B73C02">
      <w:pPr>
        <w:pStyle w:val="ListParagraph"/>
        <w:numPr>
          <w:ilvl w:val="0"/>
          <w:numId w:val="36"/>
        </w:numPr>
        <w:spacing w:after="0"/>
        <w:ind w:left="567"/>
        <w:rPr>
          <w:rFonts w:cs="Arial"/>
          <w:color w:val="auto"/>
        </w:rPr>
      </w:pPr>
      <w:r>
        <w:rPr>
          <w:rFonts w:cs="Arial"/>
          <w:color w:val="auto"/>
        </w:rPr>
        <w:t xml:space="preserve">An increase in </w:t>
      </w:r>
      <w:r w:rsidR="00BD5ED1">
        <w:rPr>
          <w:rFonts w:cs="Arial"/>
          <w:color w:val="auto"/>
        </w:rPr>
        <w:t xml:space="preserve">other price related </w:t>
      </w:r>
      <w:r>
        <w:rPr>
          <w:rFonts w:cs="Arial"/>
          <w:color w:val="auto"/>
        </w:rPr>
        <w:t xml:space="preserve">costs across a number of services </w:t>
      </w:r>
      <w:r w:rsidR="00BD5ED1">
        <w:rPr>
          <w:rFonts w:cs="Arial"/>
          <w:color w:val="auto"/>
        </w:rPr>
        <w:t xml:space="preserve">totalling </w:t>
      </w:r>
      <w:r>
        <w:rPr>
          <w:rFonts w:cs="Arial"/>
          <w:color w:val="auto"/>
        </w:rPr>
        <w:t>£0.5m.</w:t>
      </w:r>
    </w:p>
    <w:p w:rsidR="004C4208" w:rsidRPr="00B73C02" w:rsidRDefault="004C4208" w:rsidP="00843752">
      <w:pPr>
        <w:spacing w:after="0"/>
        <w:rPr>
          <w:rFonts w:cs="Arial"/>
          <w:color w:val="auto"/>
        </w:rPr>
      </w:pPr>
    </w:p>
    <w:p w:rsidR="00947B62" w:rsidRPr="000112C8" w:rsidRDefault="00947B62" w:rsidP="003D58F1">
      <w:pPr>
        <w:spacing w:after="0"/>
        <w:rPr>
          <w:rFonts w:cs="Arial"/>
          <w:b/>
        </w:rPr>
      </w:pPr>
      <w:r w:rsidRPr="000112C8">
        <w:rPr>
          <w:rFonts w:cs="Arial"/>
          <w:b/>
        </w:rPr>
        <w:t xml:space="preserve">4.3   National Living Wage </w:t>
      </w:r>
    </w:p>
    <w:p w:rsidR="00947B62" w:rsidRDefault="00947B62" w:rsidP="003D58F1">
      <w:pPr>
        <w:spacing w:after="0"/>
        <w:rPr>
          <w:rFonts w:cs="Arial"/>
          <w:b/>
        </w:rPr>
      </w:pPr>
    </w:p>
    <w:p w:rsidR="00947B62" w:rsidRDefault="00947B62" w:rsidP="00947B62">
      <w:pPr>
        <w:shd w:val="clear" w:color="auto" w:fill="FFFFFF"/>
        <w:tabs>
          <w:tab w:val="left" w:pos="567"/>
          <w:tab w:val="left" w:pos="1134"/>
        </w:tabs>
        <w:spacing w:after="0"/>
        <w:rPr>
          <w:rFonts w:eastAsia="Times New Roman" w:cs="Arial"/>
          <w:lang w:eastAsia="en-GB"/>
        </w:rPr>
      </w:pPr>
      <w:r>
        <w:rPr>
          <w:rFonts w:eastAsia="Times New Roman" w:cs="Arial"/>
          <w:lang w:eastAsia="en-GB"/>
        </w:rPr>
        <w:t>In his budget in July the Chancellor</w:t>
      </w:r>
      <w:r w:rsidRPr="00A954EB">
        <w:rPr>
          <w:rFonts w:eastAsia="Times New Roman" w:cs="Arial"/>
          <w:lang w:eastAsia="en-GB"/>
        </w:rPr>
        <w:t xml:space="preserve"> </w:t>
      </w:r>
      <w:r w:rsidR="00E62ADD" w:rsidRPr="00A954EB">
        <w:rPr>
          <w:rFonts w:eastAsia="Times New Roman" w:cs="Arial"/>
          <w:lang w:eastAsia="en-GB"/>
        </w:rPr>
        <w:t>announce</w:t>
      </w:r>
      <w:r w:rsidR="00E62ADD">
        <w:rPr>
          <w:rFonts w:eastAsia="Times New Roman" w:cs="Arial"/>
          <w:lang w:eastAsia="en-GB"/>
        </w:rPr>
        <w:t>d</w:t>
      </w:r>
      <w:r w:rsidR="00E62ADD" w:rsidRPr="00A954EB">
        <w:rPr>
          <w:rFonts w:eastAsia="Times New Roman" w:cs="Arial"/>
          <w:lang w:eastAsia="en-GB"/>
        </w:rPr>
        <w:t xml:space="preserve"> </w:t>
      </w:r>
      <w:r w:rsidRPr="00A954EB">
        <w:rPr>
          <w:rFonts w:eastAsia="Times New Roman" w:cs="Arial"/>
          <w:lang w:eastAsia="en-GB"/>
        </w:rPr>
        <w:t>the introduction of a new National Livin</w:t>
      </w:r>
      <w:r>
        <w:rPr>
          <w:rFonts w:eastAsia="Times New Roman" w:cs="Arial"/>
          <w:lang w:eastAsia="en-GB"/>
        </w:rPr>
        <w:t>g Wage for all workers aged</w:t>
      </w:r>
      <w:r w:rsidRPr="00A954EB">
        <w:rPr>
          <w:rFonts w:eastAsia="Times New Roman" w:cs="Arial"/>
          <w:lang w:eastAsia="en-GB"/>
        </w:rPr>
        <w:t xml:space="preserve"> 25</w:t>
      </w:r>
      <w:r>
        <w:rPr>
          <w:rFonts w:eastAsia="Times New Roman" w:cs="Arial"/>
          <w:lang w:eastAsia="en-GB"/>
        </w:rPr>
        <w:t xml:space="preserve"> and over</w:t>
      </w:r>
      <w:r w:rsidRPr="00A954EB">
        <w:rPr>
          <w:rFonts w:eastAsia="Times New Roman" w:cs="Arial"/>
          <w:lang w:eastAsia="en-GB"/>
        </w:rPr>
        <w:t xml:space="preserve">. </w:t>
      </w:r>
      <w:r>
        <w:rPr>
          <w:rFonts w:eastAsia="Times New Roman" w:cs="Arial"/>
          <w:lang w:eastAsia="en-GB"/>
        </w:rPr>
        <w:t xml:space="preserve"> </w:t>
      </w:r>
      <w:r w:rsidR="00D03FF9">
        <w:rPr>
          <w:rFonts w:eastAsia="Times New Roman" w:cs="Arial"/>
          <w:lang w:eastAsia="en-GB"/>
        </w:rPr>
        <w:t>This was included as a risk in the previous report but reflects</w:t>
      </w:r>
      <w:r w:rsidRPr="00A954EB">
        <w:rPr>
          <w:rFonts w:eastAsia="Times New Roman" w:cs="Arial"/>
          <w:lang w:eastAsia="en-GB"/>
        </w:rPr>
        <w:t xml:space="preserve"> compulsory rate</w:t>
      </w:r>
      <w:r w:rsidR="00D03FF9">
        <w:rPr>
          <w:rFonts w:eastAsia="Times New Roman" w:cs="Arial"/>
          <w:lang w:eastAsia="en-GB"/>
        </w:rPr>
        <w:t xml:space="preserve">s that </w:t>
      </w:r>
      <w:r w:rsidR="00E62ADD">
        <w:rPr>
          <w:rFonts w:eastAsia="Times New Roman" w:cs="Arial"/>
          <w:lang w:eastAsia="en-GB"/>
        </w:rPr>
        <w:t>organisations</w:t>
      </w:r>
      <w:r w:rsidR="00D03FF9">
        <w:rPr>
          <w:rFonts w:eastAsia="Times New Roman" w:cs="Arial"/>
          <w:lang w:eastAsia="en-GB"/>
        </w:rPr>
        <w:t xml:space="preserve"> must pay their staff beginning with a rate of £7.20 per hour from </w:t>
      </w:r>
      <w:r w:rsidRPr="00A954EB">
        <w:rPr>
          <w:rFonts w:eastAsia="Times New Roman" w:cs="Arial"/>
          <w:lang w:eastAsia="en-GB"/>
        </w:rPr>
        <w:t>1</w:t>
      </w:r>
      <w:r w:rsidRPr="00A954EB">
        <w:rPr>
          <w:rFonts w:eastAsia="Times New Roman" w:cs="Arial"/>
          <w:vertAlign w:val="superscript"/>
          <w:lang w:eastAsia="en-GB"/>
        </w:rPr>
        <w:t>st</w:t>
      </w:r>
      <w:r w:rsidRPr="00A954EB">
        <w:rPr>
          <w:rFonts w:eastAsia="Times New Roman" w:cs="Arial"/>
          <w:lang w:eastAsia="en-GB"/>
        </w:rPr>
        <w:t xml:space="preserve"> April 2016. It is anticipated that this will rise </w:t>
      </w:r>
      <w:r>
        <w:rPr>
          <w:rFonts w:eastAsia="Times New Roman" w:cs="Arial"/>
          <w:lang w:eastAsia="en-GB"/>
        </w:rPr>
        <w:t xml:space="preserve">incrementally each year </w:t>
      </w:r>
      <w:r w:rsidRPr="00A954EB">
        <w:rPr>
          <w:rFonts w:eastAsia="Times New Roman" w:cs="Arial"/>
          <w:lang w:eastAsia="en-GB"/>
        </w:rPr>
        <w:t xml:space="preserve">to </w:t>
      </w:r>
      <w:r>
        <w:rPr>
          <w:rFonts w:eastAsia="Times New Roman" w:cs="Arial"/>
          <w:lang w:eastAsia="en-GB"/>
        </w:rPr>
        <w:t xml:space="preserve">at least </w:t>
      </w:r>
      <w:r w:rsidRPr="00A954EB">
        <w:rPr>
          <w:rFonts w:eastAsia="Times New Roman" w:cs="Arial"/>
          <w:lang w:eastAsia="en-GB"/>
        </w:rPr>
        <w:t>£9 per hour in 2020</w:t>
      </w:r>
      <w:r w:rsidR="00D03FF9">
        <w:rPr>
          <w:rFonts w:eastAsia="Times New Roman" w:cs="Arial"/>
          <w:lang w:eastAsia="en-GB"/>
        </w:rPr>
        <w:t xml:space="preserve"> and is a cost pressure that has been recognised as significant nationally</w:t>
      </w:r>
      <w:r w:rsidRPr="00A954EB">
        <w:rPr>
          <w:rFonts w:eastAsia="Times New Roman" w:cs="Arial"/>
          <w:lang w:eastAsia="en-GB"/>
        </w:rPr>
        <w:t xml:space="preserve">. </w:t>
      </w:r>
    </w:p>
    <w:p w:rsidR="00947B62" w:rsidRDefault="00947B62" w:rsidP="00947B62">
      <w:pPr>
        <w:shd w:val="clear" w:color="auto" w:fill="FFFFFF"/>
        <w:tabs>
          <w:tab w:val="left" w:pos="567"/>
          <w:tab w:val="left" w:pos="1134"/>
        </w:tabs>
        <w:spacing w:after="0"/>
        <w:rPr>
          <w:rFonts w:eastAsia="Times New Roman" w:cs="Arial"/>
          <w:lang w:eastAsia="en-GB"/>
        </w:rPr>
      </w:pPr>
    </w:p>
    <w:p w:rsidR="00947B62" w:rsidRPr="00967ED5" w:rsidRDefault="00947B62" w:rsidP="00967ED5">
      <w:pPr>
        <w:shd w:val="clear" w:color="auto" w:fill="FFFFFF"/>
        <w:tabs>
          <w:tab w:val="left" w:pos="567"/>
          <w:tab w:val="left" w:pos="1134"/>
        </w:tabs>
        <w:spacing w:after="0"/>
        <w:rPr>
          <w:rFonts w:cs="Arial"/>
        </w:rPr>
      </w:pPr>
      <w:r>
        <w:rPr>
          <w:rFonts w:cs="Arial"/>
        </w:rPr>
        <w:t>Whilst the impact of the newly announced National Living Wage has no impact on the costs already forecast for the council's own employees</w:t>
      </w:r>
      <w:r w:rsidR="00E62ADD">
        <w:rPr>
          <w:rFonts w:cs="Arial"/>
        </w:rPr>
        <w:t>,</w:t>
      </w:r>
      <w:r>
        <w:rPr>
          <w:rFonts w:cs="Arial"/>
        </w:rPr>
        <w:t xml:space="preserve"> it </w:t>
      </w:r>
      <w:r w:rsidR="00D03FF9">
        <w:rPr>
          <w:rFonts w:cs="Arial"/>
        </w:rPr>
        <w:t>is expected to</w:t>
      </w:r>
      <w:r w:rsidRPr="00967ED5">
        <w:rPr>
          <w:rFonts w:cs="Arial"/>
        </w:rPr>
        <w:t xml:space="preserve"> impact significantly on the rates paid to providers of Adult Social Care commissioned services</w:t>
      </w:r>
      <w:r>
        <w:rPr>
          <w:rFonts w:cs="Arial"/>
        </w:rPr>
        <w:t xml:space="preserve">. It is now estimated that the County Council will incur additional costs </w:t>
      </w:r>
      <w:r w:rsidR="00D03FF9">
        <w:rPr>
          <w:rFonts w:cs="Arial"/>
        </w:rPr>
        <w:t xml:space="preserve">over the period of </w:t>
      </w:r>
      <w:r>
        <w:rPr>
          <w:rFonts w:cs="Arial"/>
        </w:rPr>
        <w:t>£34.6m due to the implementation of the National Living wage</w:t>
      </w:r>
      <w:r w:rsidR="00E62ADD">
        <w:rPr>
          <w:rFonts w:cs="Arial"/>
        </w:rPr>
        <w:t>. These have</w:t>
      </w:r>
      <w:r w:rsidR="00954499">
        <w:rPr>
          <w:rFonts w:cs="Arial"/>
        </w:rPr>
        <w:t xml:space="preserve"> </w:t>
      </w:r>
      <w:r w:rsidR="00E62ADD">
        <w:rPr>
          <w:rFonts w:cs="Arial"/>
        </w:rPr>
        <w:t>now</w:t>
      </w:r>
      <w:r w:rsidR="00D03FF9">
        <w:rPr>
          <w:rFonts w:cs="Arial"/>
        </w:rPr>
        <w:t xml:space="preserve"> been</w:t>
      </w:r>
      <w:r>
        <w:rPr>
          <w:rFonts w:cs="Arial"/>
        </w:rPr>
        <w:t xml:space="preserve"> built into </w:t>
      </w:r>
      <w:r w:rsidR="00E62ADD">
        <w:rPr>
          <w:rFonts w:cs="Arial"/>
        </w:rPr>
        <w:t xml:space="preserve">the </w:t>
      </w:r>
      <w:r>
        <w:rPr>
          <w:rFonts w:cs="Arial"/>
        </w:rPr>
        <w:t>MTFS</w:t>
      </w:r>
      <w:r w:rsidR="00BD5ED1">
        <w:rPr>
          <w:rFonts w:cs="Arial"/>
        </w:rPr>
        <w:t xml:space="preserve"> position</w:t>
      </w:r>
      <w:r>
        <w:rPr>
          <w:rFonts w:cs="Arial"/>
        </w:rPr>
        <w:t>.</w:t>
      </w:r>
      <w:r w:rsidR="00BD5ED1">
        <w:rPr>
          <w:rFonts w:cs="Arial"/>
        </w:rPr>
        <w:t xml:space="preserve">  </w:t>
      </w:r>
    </w:p>
    <w:p w:rsidR="00947B62" w:rsidRPr="00967ED5" w:rsidRDefault="00947B62" w:rsidP="003D58F1">
      <w:pPr>
        <w:spacing w:after="0"/>
        <w:rPr>
          <w:rFonts w:cs="Arial"/>
          <w:b/>
        </w:rPr>
      </w:pPr>
    </w:p>
    <w:p w:rsidR="00932C3B" w:rsidRDefault="00145395" w:rsidP="003D58F1">
      <w:pPr>
        <w:tabs>
          <w:tab w:val="left" w:pos="567"/>
          <w:tab w:val="left" w:pos="1134"/>
        </w:tabs>
        <w:spacing w:after="0"/>
        <w:rPr>
          <w:rFonts w:cs="Arial"/>
          <w:b/>
        </w:rPr>
      </w:pPr>
      <w:r w:rsidRPr="00145395">
        <w:rPr>
          <w:rFonts w:cs="Arial"/>
          <w:b/>
        </w:rPr>
        <w:t>4.</w:t>
      </w:r>
      <w:r w:rsidR="00947B62">
        <w:rPr>
          <w:rFonts w:cs="Arial"/>
          <w:b/>
        </w:rPr>
        <w:t>4</w:t>
      </w:r>
      <w:r w:rsidRPr="00145395">
        <w:rPr>
          <w:rFonts w:cs="Arial"/>
          <w:b/>
        </w:rPr>
        <w:tab/>
      </w:r>
      <w:r w:rsidR="00932C3B" w:rsidRPr="00145395">
        <w:rPr>
          <w:rFonts w:cs="Arial"/>
          <w:b/>
        </w:rPr>
        <w:t>Demand Pressures</w:t>
      </w:r>
    </w:p>
    <w:p w:rsidR="003D3C68" w:rsidRPr="00145395" w:rsidRDefault="003D3C68" w:rsidP="003D58F1">
      <w:pPr>
        <w:tabs>
          <w:tab w:val="left" w:pos="567"/>
          <w:tab w:val="left" w:pos="1134"/>
        </w:tabs>
        <w:spacing w:after="0"/>
        <w:rPr>
          <w:rFonts w:cs="Arial"/>
          <w:b/>
        </w:rPr>
      </w:pPr>
    </w:p>
    <w:p w:rsidR="00A21BFB" w:rsidRDefault="00C15316" w:rsidP="003D58F1">
      <w:pPr>
        <w:tabs>
          <w:tab w:val="left" w:pos="567"/>
          <w:tab w:val="left" w:pos="1134"/>
        </w:tabs>
        <w:spacing w:after="0"/>
        <w:rPr>
          <w:rFonts w:cs="Arial"/>
        </w:rPr>
      </w:pPr>
      <w:r>
        <w:rPr>
          <w:rFonts w:cs="Arial"/>
        </w:rPr>
        <w:t>A</w:t>
      </w:r>
      <w:r w:rsidR="00145395">
        <w:rPr>
          <w:rFonts w:cs="Arial"/>
        </w:rPr>
        <w:t xml:space="preserve">ll services have </w:t>
      </w:r>
      <w:r>
        <w:rPr>
          <w:rFonts w:cs="Arial"/>
        </w:rPr>
        <w:t>review</w:t>
      </w:r>
      <w:r w:rsidR="00145395">
        <w:rPr>
          <w:rFonts w:cs="Arial"/>
        </w:rPr>
        <w:t>ed the</w:t>
      </w:r>
      <w:r>
        <w:rPr>
          <w:rFonts w:cs="Arial"/>
        </w:rPr>
        <w:t xml:space="preserve"> demand pressures faced by the council in future years. The impact of this review has been identified and is reflected in the revised MTFS</w:t>
      </w:r>
      <w:r w:rsidR="00145395">
        <w:rPr>
          <w:rFonts w:cs="Arial"/>
        </w:rPr>
        <w:t xml:space="preserve"> and it can be seen that </w:t>
      </w:r>
      <w:r w:rsidR="00A95E6D">
        <w:rPr>
          <w:rFonts w:cs="Arial"/>
        </w:rPr>
        <w:t>a significant proportion of the funding gap</w:t>
      </w:r>
      <w:r w:rsidR="00145395">
        <w:rPr>
          <w:rFonts w:cs="Arial"/>
        </w:rPr>
        <w:t xml:space="preserve"> that has been identified </w:t>
      </w:r>
      <w:r w:rsidR="00A95E6D">
        <w:rPr>
          <w:rFonts w:cs="Arial"/>
        </w:rPr>
        <w:t>is due to demand pressures</w:t>
      </w:r>
      <w:r w:rsidR="00145395">
        <w:rPr>
          <w:rFonts w:cs="Arial"/>
        </w:rPr>
        <w:t>.</w:t>
      </w:r>
    </w:p>
    <w:p w:rsidR="00A21BFB" w:rsidRDefault="00A21BFB" w:rsidP="003D58F1">
      <w:pPr>
        <w:tabs>
          <w:tab w:val="left" w:pos="567"/>
          <w:tab w:val="left" w:pos="1134"/>
        </w:tabs>
        <w:spacing w:after="0"/>
        <w:rPr>
          <w:rFonts w:cs="Arial"/>
        </w:rPr>
      </w:pPr>
    </w:p>
    <w:p w:rsidR="00145395" w:rsidRDefault="00A21BFB" w:rsidP="003D58F1">
      <w:pPr>
        <w:tabs>
          <w:tab w:val="left" w:pos="567"/>
          <w:tab w:val="left" w:pos="1134"/>
        </w:tabs>
        <w:spacing w:after="0"/>
        <w:rPr>
          <w:rFonts w:cs="Arial"/>
        </w:rPr>
      </w:pPr>
      <w:r>
        <w:rPr>
          <w:rFonts w:cs="Arial"/>
        </w:rPr>
        <w:t>In total it is estimated that the demand pressures are £</w:t>
      </w:r>
      <w:r w:rsidR="008E0C08">
        <w:rPr>
          <w:rFonts w:cs="Arial"/>
        </w:rPr>
        <w:t>97.4</w:t>
      </w:r>
      <w:r>
        <w:rPr>
          <w:rFonts w:cs="Arial"/>
        </w:rPr>
        <w:t xml:space="preserve">m. The table below shows the impact by year and the change since the </w:t>
      </w:r>
      <w:r w:rsidR="00425781">
        <w:rPr>
          <w:rFonts w:cs="Arial"/>
        </w:rPr>
        <w:t>M</w:t>
      </w:r>
      <w:r>
        <w:rPr>
          <w:rFonts w:cs="Arial"/>
        </w:rPr>
        <w:t>TFS</w:t>
      </w:r>
      <w:r w:rsidR="00A850B0">
        <w:rPr>
          <w:rFonts w:cs="Arial"/>
        </w:rPr>
        <w:t xml:space="preserve"> presented in August</w:t>
      </w:r>
      <w:r w:rsidR="00E049F3">
        <w:rPr>
          <w:rFonts w:cs="Arial"/>
        </w:rPr>
        <w:t xml:space="preserve">, which overall represents an increase of </w:t>
      </w:r>
      <w:r w:rsidR="00E049F3" w:rsidRPr="00EF4A1C">
        <w:rPr>
          <w:rFonts w:cs="Arial"/>
        </w:rPr>
        <w:t>£</w:t>
      </w:r>
      <w:r w:rsidR="001C6F48">
        <w:rPr>
          <w:rFonts w:cs="Arial"/>
        </w:rPr>
        <w:t>8</w:t>
      </w:r>
      <w:r w:rsidR="00E049F3" w:rsidRPr="00EF4A1C">
        <w:rPr>
          <w:rFonts w:cs="Arial"/>
        </w:rPr>
        <w:t>.</w:t>
      </w:r>
      <w:r w:rsidR="00EF4A1C" w:rsidRPr="00EF4A1C">
        <w:rPr>
          <w:rFonts w:cs="Arial"/>
        </w:rPr>
        <w:t>3</w:t>
      </w:r>
      <w:r w:rsidR="00E049F3" w:rsidRPr="00EF4A1C">
        <w:rPr>
          <w:rFonts w:cs="Arial"/>
        </w:rPr>
        <w:t>m</w:t>
      </w:r>
      <w:r w:rsidR="00DF300F" w:rsidRPr="00EF4A1C">
        <w:rPr>
          <w:rFonts w:cs="Arial"/>
        </w:rPr>
        <w:t>.</w:t>
      </w:r>
    </w:p>
    <w:p w:rsidR="001C5326" w:rsidRDefault="001C5326">
      <w:pPr>
        <w:autoSpaceDE/>
        <w:autoSpaceDN/>
        <w:adjustRightInd/>
        <w:spacing w:after="0"/>
        <w:jc w:val="left"/>
        <w:rPr>
          <w:rFonts w:cs="Arial"/>
          <w:b/>
        </w:rPr>
      </w:pPr>
    </w:p>
    <w:p w:rsidR="001C5326" w:rsidRPr="001C5326" w:rsidRDefault="001C5326">
      <w:pPr>
        <w:autoSpaceDE/>
        <w:autoSpaceDN/>
        <w:adjustRightInd/>
        <w:spacing w:after="0"/>
        <w:jc w:val="left"/>
        <w:rPr>
          <w:rFonts w:cs="Arial"/>
        </w:rPr>
      </w:pPr>
      <w:r w:rsidRPr="001C5326">
        <w:rPr>
          <w:rFonts w:cs="Arial"/>
        </w:rPr>
        <w:t>This is illustrated in the table overleaf:</w:t>
      </w:r>
    </w:p>
    <w:p w:rsidR="001C5326" w:rsidRDefault="001C5326">
      <w:pPr>
        <w:autoSpaceDE/>
        <w:autoSpaceDN/>
        <w:adjustRightInd/>
        <w:spacing w:after="0"/>
        <w:jc w:val="left"/>
        <w:rPr>
          <w:rFonts w:cs="Arial"/>
          <w:b/>
        </w:rPr>
      </w:pPr>
    </w:p>
    <w:tbl>
      <w:tblPr>
        <w:tblStyle w:val="TableGrid"/>
        <w:tblW w:w="9209" w:type="dxa"/>
        <w:tblLook w:val="04A0" w:firstRow="1" w:lastRow="0" w:firstColumn="1" w:lastColumn="0" w:noHBand="0" w:noVBand="1"/>
      </w:tblPr>
      <w:tblGrid>
        <w:gridCol w:w="2806"/>
        <w:gridCol w:w="1084"/>
        <w:gridCol w:w="1084"/>
        <w:gridCol w:w="1084"/>
        <w:gridCol w:w="1084"/>
        <w:gridCol w:w="1084"/>
        <w:gridCol w:w="983"/>
      </w:tblGrid>
      <w:tr w:rsidR="00A21BFB" w:rsidRPr="00A95E6D" w:rsidTr="00A850B0">
        <w:tc>
          <w:tcPr>
            <w:tcW w:w="0" w:type="auto"/>
            <w:shd w:val="clear" w:color="auto" w:fill="D9D9D9" w:themeFill="background1" w:themeFillShade="D9"/>
          </w:tcPr>
          <w:p w:rsidR="00A21BFB" w:rsidRPr="00A95E6D" w:rsidRDefault="00A21BFB" w:rsidP="00A850B0">
            <w:pPr>
              <w:tabs>
                <w:tab w:val="left" w:pos="567"/>
                <w:tab w:val="left" w:pos="1134"/>
              </w:tabs>
              <w:spacing w:after="0"/>
              <w:rPr>
                <w:rFonts w:cs="Arial"/>
                <w:b/>
              </w:rPr>
            </w:pPr>
          </w:p>
        </w:tc>
        <w:tc>
          <w:tcPr>
            <w:tcW w:w="0" w:type="auto"/>
            <w:shd w:val="clear" w:color="auto" w:fill="D9D9D9" w:themeFill="background1" w:themeFillShade="D9"/>
            <w:vAlign w:val="center"/>
          </w:tcPr>
          <w:p w:rsidR="00A21BFB" w:rsidRPr="00A95E6D" w:rsidRDefault="00A21BFB" w:rsidP="00A850B0">
            <w:pPr>
              <w:tabs>
                <w:tab w:val="left" w:pos="567"/>
                <w:tab w:val="left" w:pos="1134"/>
              </w:tabs>
              <w:spacing w:after="0"/>
              <w:rPr>
                <w:rFonts w:cs="Arial"/>
                <w:b/>
              </w:rPr>
            </w:pPr>
            <w:r w:rsidRPr="00A95E6D">
              <w:rPr>
                <w:rFonts w:cs="Arial"/>
                <w:b/>
              </w:rPr>
              <w:t>2016/17</w:t>
            </w:r>
          </w:p>
        </w:tc>
        <w:tc>
          <w:tcPr>
            <w:tcW w:w="0" w:type="auto"/>
            <w:shd w:val="clear" w:color="auto" w:fill="D9D9D9" w:themeFill="background1" w:themeFillShade="D9"/>
            <w:vAlign w:val="center"/>
          </w:tcPr>
          <w:p w:rsidR="00A21BFB" w:rsidRPr="00A95E6D" w:rsidRDefault="00A21BFB" w:rsidP="00A850B0">
            <w:pPr>
              <w:tabs>
                <w:tab w:val="left" w:pos="567"/>
                <w:tab w:val="left" w:pos="1134"/>
              </w:tabs>
              <w:spacing w:after="0"/>
              <w:rPr>
                <w:rFonts w:cs="Arial"/>
                <w:b/>
              </w:rPr>
            </w:pPr>
            <w:r w:rsidRPr="00A95E6D">
              <w:rPr>
                <w:rFonts w:cs="Arial"/>
                <w:b/>
              </w:rPr>
              <w:t>2017/18</w:t>
            </w:r>
          </w:p>
        </w:tc>
        <w:tc>
          <w:tcPr>
            <w:tcW w:w="0" w:type="auto"/>
            <w:shd w:val="clear" w:color="auto" w:fill="D9D9D9" w:themeFill="background1" w:themeFillShade="D9"/>
            <w:vAlign w:val="center"/>
          </w:tcPr>
          <w:p w:rsidR="00A21BFB" w:rsidRPr="00A95E6D" w:rsidRDefault="00A21BFB" w:rsidP="00A850B0">
            <w:pPr>
              <w:tabs>
                <w:tab w:val="left" w:pos="567"/>
                <w:tab w:val="left" w:pos="1134"/>
              </w:tabs>
              <w:spacing w:after="0"/>
              <w:rPr>
                <w:rFonts w:cs="Arial"/>
                <w:b/>
              </w:rPr>
            </w:pPr>
            <w:r w:rsidRPr="00A95E6D">
              <w:rPr>
                <w:rFonts w:cs="Arial"/>
                <w:b/>
              </w:rPr>
              <w:t>2018/19</w:t>
            </w:r>
          </w:p>
        </w:tc>
        <w:tc>
          <w:tcPr>
            <w:tcW w:w="0" w:type="auto"/>
            <w:shd w:val="clear" w:color="auto" w:fill="D9D9D9" w:themeFill="background1" w:themeFillShade="D9"/>
            <w:vAlign w:val="center"/>
          </w:tcPr>
          <w:p w:rsidR="00A21BFB" w:rsidRPr="00A95E6D" w:rsidRDefault="00A21BFB" w:rsidP="00A850B0">
            <w:pPr>
              <w:tabs>
                <w:tab w:val="left" w:pos="567"/>
                <w:tab w:val="left" w:pos="1134"/>
              </w:tabs>
              <w:spacing w:after="0"/>
              <w:rPr>
                <w:rFonts w:cs="Arial"/>
                <w:b/>
              </w:rPr>
            </w:pPr>
            <w:r w:rsidRPr="00A95E6D">
              <w:rPr>
                <w:rFonts w:cs="Arial"/>
                <w:b/>
              </w:rPr>
              <w:t>2019/20</w:t>
            </w:r>
          </w:p>
        </w:tc>
        <w:tc>
          <w:tcPr>
            <w:tcW w:w="0" w:type="auto"/>
            <w:shd w:val="clear" w:color="auto" w:fill="D9D9D9" w:themeFill="background1" w:themeFillShade="D9"/>
            <w:vAlign w:val="center"/>
          </w:tcPr>
          <w:p w:rsidR="00A21BFB" w:rsidRPr="00A95E6D" w:rsidRDefault="00A21BFB" w:rsidP="00A850B0">
            <w:pPr>
              <w:tabs>
                <w:tab w:val="left" w:pos="567"/>
                <w:tab w:val="left" w:pos="1134"/>
              </w:tabs>
              <w:spacing w:after="0"/>
              <w:rPr>
                <w:rFonts w:cs="Arial"/>
                <w:b/>
              </w:rPr>
            </w:pPr>
            <w:r w:rsidRPr="00A95E6D">
              <w:rPr>
                <w:rFonts w:cs="Arial"/>
                <w:b/>
              </w:rPr>
              <w:t>2020/21</w:t>
            </w:r>
          </w:p>
        </w:tc>
        <w:tc>
          <w:tcPr>
            <w:tcW w:w="983" w:type="dxa"/>
            <w:shd w:val="clear" w:color="auto" w:fill="D9D9D9" w:themeFill="background1" w:themeFillShade="D9"/>
            <w:vAlign w:val="center"/>
          </w:tcPr>
          <w:p w:rsidR="00A21BFB" w:rsidRPr="00A95E6D" w:rsidRDefault="00A21BFB" w:rsidP="00A850B0">
            <w:pPr>
              <w:tabs>
                <w:tab w:val="left" w:pos="567"/>
                <w:tab w:val="left" w:pos="1134"/>
              </w:tabs>
              <w:spacing w:after="0"/>
              <w:rPr>
                <w:rFonts w:cs="Arial"/>
                <w:b/>
              </w:rPr>
            </w:pPr>
            <w:r w:rsidRPr="00A95E6D">
              <w:rPr>
                <w:rFonts w:cs="Arial"/>
                <w:b/>
              </w:rPr>
              <w:t>Total</w:t>
            </w:r>
          </w:p>
        </w:tc>
      </w:tr>
      <w:tr w:rsidR="00A21BFB" w:rsidRPr="00A95E6D" w:rsidTr="00A850B0">
        <w:tc>
          <w:tcPr>
            <w:tcW w:w="0" w:type="auto"/>
            <w:shd w:val="clear" w:color="auto" w:fill="D9D9D9" w:themeFill="background1" w:themeFillShade="D9"/>
          </w:tcPr>
          <w:p w:rsidR="00A21BFB" w:rsidRPr="00A95E6D" w:rsidRDefault="00A21BFB" w:rsidP="00A850B0">
            <w:pPr>
              <w:tabs>
                <w:tab w:val="left" w:pos="567"/>
                <w:tab w:val="left" w:pos="1134"/>
              </w:tabs>
              <w:spacing w:after="0"/>
              <w:rPr>
                <w:rFonts w:cs="Arial"/>
                <w:b/>
              </w:rPr>
            </w:pPr>
          </w:p>
        </w:tc>
        <w:tc>
          <w:tcPr>
            <w:tcW w:w="0" w:type="auto"/>
            <w:shd w:val="clear" w:color="auto" w:fill="D9D9D9" w:themeFill="background1" w:themeFillShade="D9"/>
            <w:vAlign w:val="center"/>
          </w:tcPr>
          <w:p w:rsidR="00A21BFB" w:rsidRPr="00A95E6D" w:rsidRDefault="00A21BFB" w:rsidP="00A850B0">
            <w:pPr>
              <w:tabs>
                <w:tab w:val="left" w:pos="567"/>
                <w:tab w:val="left" w:pos="1134"/>
              </w:tabs>
              <w:spacing w:after="0"/>
              <w:rPr>
                <w:rFonts w:cs="Arial"/>
                <w:b/>
              </w:rPr>
            </w:pPr>
            <w:r w:rsidRPr="00A95E6D">
              <w:rPr>
                <w:rFonts w:cs="Arial"/>
                <w:b/>
              </w:rPr>
              <w:t>£m</w:t>
            </w:r>
          </w:p>
        </w:tc>
        <w:tc>
          <w:tcPr>
            <w:tcW w:w="0" w:type="auto"/>
            <w:shd w:val="clear" w:color="auto" w:fill="D9D9D9" w:themeFill="background1" w:themeFillShade="D9"/>
            <w:vAlign w:val="center"/>
          </w:tcPr>
          <w:p w:rsidR="00A21BFB" w:rsidRPr="00A95E6D" w:rsidRDefault="00A21BFB" w:rsidP="00A850B0">
            <w:pPr>
              <w:tabs>
                <w:tab w:val="left" w:pos="567"/>
                <w:tab w:val="left" w:pos="1134"/>
              </w:tabs>
              <w:spacing w:after="0"/>
              <w:rPr>
                <w:rFonts w:cs="Arial"/>
                <w:b/>
              </w:rPr>
            </w:pPr>
            <w:r w:rsidRPr="00A95E6D">
              <w:rPr>
                <w:rFonts w:cs="Arial"/>
                <w:b/>
              </w:rPr>
              <w:t>£m</w:t>
            </w:r>
          </w:p>
        </w:tc>
        <w:tc>
          <w:tcPr>
            <w:tcW w:w="0" w:type="auto"/>
            <w:shd w:val="clear" w:color="auto" w:fill="D9D9D9" w:themeFill="background1" w:themeFillShade="D9"/>
            <w:vAlign w:val="center"/>
          </w:tcPr>
          <w:p w:rsidR="00A21BFB" w:rsidRPr="00A95E6D" w:rsidRDefault="00A21BFB" w:rsidP="00A850B0">
            <w:pPr>
              <w:tabs>
                <w:tab w:val="left" w:pos="567"/>
                <w:tab w:val="left" w:pos="1134"/>
              </w:tabs>
              <w:spacing w:after="0"/>
              <w:rPr>
                <w:rFonts w:cs="Arial"/>
                <w:b/>
              </w:rPr>
            </w:pPr>
            <w:r w:rsidRPr="00A95E6D">
              <w:rPr>
                <w:rFonts w:cs="Arial"/>
                <w:b/>
              </w:rPr>
              <w:t>£m</w:t>
            </w:r>
          </w:p>
        </w:tc>
        <w:tc>
          <w:tcPr>
            <w:tcW w:w="0" w:type="auto"/>
            <w:shd w:val="clear" w:color="auto" w:fill="D9D9D9" w:themeFill="background1" w:themeFillShade="D9"/>
            <w:vAlign w:val="center"/>
          </w:tcPr>
          <w:p w:rsidR="00A21BFB" w:rsidRPr="00A95E6D" w:rsidRDefault="00A21BFB" w:rsidP="00A850B0">
            <w:pPr>
              <w:tabs>
                <w:tab w:val="left" w:pos="567"/>
                <w:tab w:val="left" w:pos="1134"/>
              </w:tabs>
              <w:spacing w:after="0"/>
              <w:rPr>
                <w:rFonts w:cs="Arial"/>
                <w:b/>
              </w:rPr>
            </w:pPr>
            <w:r w:rsidRPr="00A95E6D">
              <w:rPr>
                <w:rFonts w:cs="Arial"/>
                <w:b/>
              </w:rPr>
              <w:t>£m</w:t>
            </w:r>
          </w:p>
        </w:tc>
        <w:tc>
          <w:tcPr>
            <w:tcW w:w="0" w:type="auto"/>
            <w:shd w:val="clear" w:color="auto" w:fill="D9D9D9" w:themeFill="background1" w:themeFillShade="D9"/>
            <w:vAlign w:val="center"/>
          </w:tcPr>
          <w:p w:rsidR="00A21BFB" w:rsidRPr="00A95E6D" w:rsidRDefault="00A21BFB" w:rsidP="00A850B0">
            <w:pPr>
              <w:tabs>
                <w:tab w:val="left" w:pos="567"/>
                <w:tab w:val="left" w:pos="1134"/>
              </w:tabs>
              <w:spacing w:after="0"/>
              <w:rPr>
                <w:rFonts w:cs="Arial"/>
                <w:b/>
              </w:rPr>
            </w:pPr>
            <w:r w:rsidRPr="00A95E6D">
              <w:rPr>
                <w:rFonts w:cs="Arial"/>
                <w:b/>
              </w:rPr>
              <w:t>£m</w:t>
            </w:r>
          </w:p>
        </w:tc>
        <w:tc>
          <w:tcPr>
            <w:tcW w:w="983" w:type="dxa"/>
            <w:shd w:val="clear" w:color="auto" w:fill="D9D9D9" w:themeFill="background1" w:themeFillShade="D9"/>
            <w:vAlign w:val="center"/>
          </w:tcPr>
          <w:p w:rsidR="00A21BFB" w:rsidRPr="00A95E6D" w:rsidRDefault="00A21BFB" w:rsidP="00A850B0">
            <w:pPr>
              <w:tabs>
                <w:tab w:val="left" w:pos="567"/>
                <w:tab w:val="left" w:pos="1134"/>
              </w:tabs>
              <w:spacing w:after="0"/>
              <w:rPr>
                <w:rFonts w:cs="Arial"/>
                <w:b/>
              </w:rPr>
            </w:pPr>
            <w:r w:rsidRPr="00A95E6D">
              <w:rPr>
                <w:rFonts w:cs="Arial"/>
                <w:b/>
              </w:rPr>
              <w:t>£m</w:t>
            </w:r>
          </w:p>
        </w:tc>
      </w:tr>
      <w:tr w:rsidR="00A21BFB" w:rsidRPr="00A95E6D" w:rsidTr="00A850B0">
        <w:tc>
          <w:tcPr>
            <w:tcW w:w="0" w:type="auto"/>
            <w:vAlign w:val="center"/>
          </w:tcPr>
          <w:p w:rsidR="00A21BFB" w:rsidRPr="002E3569" w:rsidRDefault="00A21BFB" w:rsidP="00C4517D">
            <w:pPr>
              <w:tabs>
                <w:tab w:val="left" w:pos="567"/>
                <w:tab w:val="left" w:pos="1134"/>
              </w:tabs>
              <w:spacing w:after="0"/>
              <w:rPr>
                <w:rFonts w:cs="Arial"/>
              </w:rPr>
            </w:pPr>
            <w:r>
              <w:rPr>
                <w:rFonts w:cs="Arial"/>
              </w:rPr>
              <w:t xml:space="preserve">Total </w:t>
            </w:r>
            <w:r w:rsidR="00C4517D">
              <w:rPr>
                <w:rFonts w:cs="Arial"/>
              </w:rPr>
              <w:t>d</w:t>
            </w:r>
            <w:r>
              <w:rPr>
                <w:rFonts w:cs="Arial"/>
              </w:rPr>
              <w:t>emand pressure</w:t>
            </w:r>
          </w:p>
        </w:tc>
        <w:tc>
          <w:tcPr>
            <w:tcW w:w="0" w:type="auto"/>
            <w:vAlign w:val="center"/>
          </w:tcPr>
          <w:p w:rsidR="00A21BFB" w:rsidRDefault="00E729AE" w:rsidP="00481AD1">
            <w:pPr>
              <w:tabs>
                <w:tab w:val="left" w:pos="567"/>
                <w:tab w:val="left" w:pos="1134"/>
              </w:tabs>
              <w:spacing w:after="0"/>
              <w:rPr>
                <w:rFonts w:cs="Arial"/>
                <w:b/>
              </w:rPr>
            </w:pPr>
            <w:r>
              <w:rPr>
                <w:rFonts w:cs="Arial"/>
                <w:b/>
              </w:rPr>
              <w:t>38.4</w:t>
            </w:r>
          </w:p>
        </w:tc>
        <w:tc>
          <w:tcPr>
            <w:tcW w:w="0" w:type="auto"/>
            <w:vAlign w:val="center"/>
          </w:tcPr>
          <w:p w:rsidR="00A21BFB" w:rsidRDefault="00C9525E" w:rsidP="00E729AE">
            <w:pPr>
              <w:tabs>
                <w:tab w:val="left" w:pos="567"/>
                <w:tab w:val="left" w:pos="1134"/>
              </w:tabs>
              <w:spacing w:after="0"/>
              <w:rPr>
                <w:rFonts w:cs="Arial"/>
                <w:b/>
              </w:rPr>
            </w:pPr>
            <w:r>
              <w:rPr>
                <w:rFonts w:cs="Arial"/>
                <w:b/>
              </w:rPr>
              <w:t>12.</w:t>
            </w:r>
            <w:r w:rsidR="00E729AE">
              <w:rPr>
                <w:rFonts w:cs="Arial"/>
                <w:b/>
              </w:rPr>
              <w:t>7</w:t>
            </w:r>
          </w:p>
        </w:tc>
        <w:tc>
          <w:tcPr>
            <w:tcW w:w="0" w:type="auto"/>
            <w:vAlign w:val="center"/>
          </w:tcPr>
          <w:p w:rsidR="00A21BFB" w:rsidRDefault="00C9525E" w:rsidP="00A850B0">
            <w:pPr>
              <w:tabs>
                <w:tab w:val="left" w:pos="567"/>
                <w:tab w:val="left" w:pos="1134"/>
              </w:tabs>
              <w:spacing w:after="0"/>
              <w:rPr>
                <w:rFonts w:cs="Arial"/>
                <w:b/>
              </w:rPr>
            </w:pPr>
            <w:r>
              <w:rPr>
                <w:rFonts w:cs="Arial"/>
                <w:b/>
              </w:rPr>
              <w:t>13.9</w:t>
            </w:r>
          </w:p>
        </w:tc>
        <w:tc>
          <w:tcPr>
            <w:tcW w:w="0" w:type="auto"/>
            <w:vAlign w:val="center"/>
          </w:tcPr>
          <w:p w:rsidR="00A21BFB" w:rsidRDefault="00C9525E" w:rsidP="00A850B0">
            <w:pPr>
              <w:tabs>
                <w:tab w:val="left" w:pos="567"/>
                <w:tab w:val="left" w:pos="1134"/>
              </w:tabs>
              <w:spacing w:after="0"/>
              <w:rPr>
                <w:rFonts w:cs="Arial"/>
                <w:b/>
              </w:rPr>
            </w:pPr>
            <w:r>
              <w:rPr>
                <w:rFonts w:cs="Arial"/>
                <w:b/>
              </w:rPr>
              <w:t>15.0</w:t>
            </w:r>
          </w:p>
        </w:tc>
        <w:tc>
          <w:tcPr>
            <w:tcW w:w="0" w:type="auto"/>
            <w:vAlign w:val="center"/>
          </w:tcPr>
          <w:p w:rsidR="00A21BFB" w:rsidRDefault="00C9525E" w:rsidP="00A850B0">
            <w:pPr>
              <w:tabs>
                <w:tab w:val="left" w:pos="567"/>
                <w:tab w:val="left" w:pos="1134"/>
              </w:tabs>
              <w:spacing w:after="0"/>
              <w:rPr>
                <w:rFonts w:cs="Arial"/>
                <w:b/>
              </w:rPr>
            </w:pPr>
            <w:r>
              <w:rPr>
                <w:rFonts w:cs="Arial"/>
                <w:b/>
              </w:rPr>
              <w:t>17.4</w:t>
            </w:r>
          </w:p>
        </w:tc>
        <w:tc>
          <w:tcPr>
            <w:tcW w:w="983" w:type="dxa"/>
            <w:vAlign w:val="center"/>
          </w:tcPr>
          <w:p w:rsidR="00A21BFB" w:rsidRPr="00A95E6D" w:rsidRDefault="00E729AE" w:rsidP="00A850B0">
            <w:pPr>
              <w:tabs>
                <w:tab w:val="left" w:pos="567"/>
                <w:tab w:val="left" w:pos="1134"/>
              </w:tabs>
              <w:spacing w:after="0"/>
              <w:rPr>
                <w:rFonts w:cs="Arial"/>
                <w:b/>
              </w:rPr>
            </w:pPr>
            <w:r>
              <w:rPr>
                <w:rFonts w:cs="Arial"/>
                <w:b/>
              </w:rPr>
              <w:t>97.4</w:t>
            </w:r>
          </w:p>
        </w:tc>
      </w:tr>
      <w:tr w:rsidR="00A21BFB" w:rsidRPr="00A95E6D" w:rsidTr="00A850B0">
        <w:tc>
          <w:tcPr>
            <w:tcW w:w="0" w:type="auto"/>
            <w:vAlign w:val="center"/>
          </w:tcPr>
          <w:p w:rsidR="00A21BFB" w:rsidRPr="002E3569" w:rsidRDefault="00C4517D" w:rsidP="00A850B0">
            <w:pPr>
              <w:tabs>
                <w:tab w:val="left" w:pos="567"/>
                <w:tab w:val="left" w:pos="1134"/>
              </w:tabs>
              <w:spacing w:after="0"/>
              <w:rPr>
                <w:rFonts w:cs="Arial"/>
              </w:rPr>
            </w:pPr>
            <w:r>
              <w:rPr>
                <w:rFonts w:cs="Arial"/>
              </w:rPr>
              <w:t>Impact on demand pressure assumptions</w:t>
            </w:r>
            <w:r w:rsidR="00425781">
              <w:rPr>
                <w:rFonts w:cs="Arial"/>
              </w:rPr>
              <w:t xml:space="preserve"> </w:t>
            </w:r>
          </w:p>
        </w:tc>
        <w:tc>
          <w:tcPr>
            <w:tcW w:w="0" w:type="auto"/>
            <w:vAlign w:val="center"/>
          </w:tcPr>
          <w:p w:rsidR="00A21BFB" w:rsidRPr="00A95E6D" w:rsidRDefault="00F43393" w:rsidP="008A4F1C">
            <w:pPr>
              <w:tabs>
                <w:tab w:val="left" w:pos="567"/>
                <w:tab w:val="left" w:pos="1134"/>
              </w:tabs>
              <w:spacing w:after="0"/>
              <w:rPr>
                <w:rFonts w:cs="Arial"/>
                <w:b/>
              </w:rPr>
            </w:pPr>
            <w:r>
              <w:rPr>
                <w:rFonts w:cs="Arial"/>
                <w:b/>
              </w:rPr>
              <w:t>13.4</w:t>
            </w:r>
          </w:p>
        </w:tc>
        <w:tc>
          <w:tcPr>
            <w:tcW w:w="0" w:type="auto"/>
            <w:vAlign w:val="center"/>
          </w:tcPr>
          <w:p w:rsidR="00A21BFB" w:rsidRPr="00A95E6D" w:rsidRDefault="006B73CA" w:rsidP="00253113">
            <w:pPr>
              <w:tabs>
                <w:tab w:val="left" w:pos="567"/>
                <w:tab w:val="left" w:pos="1134"/>
              </w:tabs>
              <w:spacing w:after="0"/>
              <w:rPr>
                <w:rFonts w:cs="Arial"/>
                <w:b/>
              </w:rPr>
            </w:pPr>
            <w:r>
              <w:rPr>
                <w:rFonts w:cs="Arial"/>
                <w:b/>
              </w:rPr>
              <w:t>-2.0</w:t>
            </w:r>
          </w:p>
        </w:tc>
        <w:tc>
          <w:tcPr>
            <w:tcW w:w="0" w:type="auto"/>
            <w:vAlign w:val="center"/>
          </w:tcPr>
          <w:p w:rsidR="00A21BFB" w:rsidRPr="00A95E6D" w:rsidRDefault="000F14B4" w:rsidP="00A850B0">
            <w:pPr>
              <w:tabs>
                <w:tab w:val="left" w:pos="567"/>
                <w:tab w:val="left" w:pos="1134"/>
              </w:tabs>
              <w:spacing w:after="0"/>
              <w:rPr>
                <w:rFonts w:cs="Arial"/>
                <w:b/>
              </w:rPr>
            </w:pPr>
            <w:r>
              <w:rPr>
                <w:rFonts w:cs="Arial"/>
                <w:b/>
              </w:rPr>
              <w:t>-0.6</w:t>
            </w:r>
          </w:p>
        </w:tc>
        <w:tc>
          <w:tcPr>
            <w:tcW w:w="0" w:type="auto"/>
            <w:vAlign w:val="center"/>
          </w:tcPr>
          <w:p w:rsidR="00A21BFB" w:rsidRPr="00A95E6D" w:rsidRDefault="000F14B4" w:rsidP="00A850B0">
            <w:pPr>
              <w:tabs>
                <w:tab w:val="left" w:pos="567"/>
                <w:tab w:val="left" w:pos="1134"/>
              </w:tabs>
              <w:spacing w:after="0"/>
              <w:rPr>
                <w:rFonts w:cs="Arial"/>
                <w:b/>
              </w:rPr>
            </w:pPr>
            <w:r>
              <w:rPr>
                <w:rFonts w:cs="Arial"/>
                <w:b/>
              </w:rPr>
              <w:t>-1.1</w:t>
            </w:r>
          </w:p>
        </w:tc>
        <w:tc>
          <w:tcPr>
            <w:tcW w:w="0" w:type="auto"/>
            <w:vAlign w:val="center"/>
          </w:tcPr>
          <w:p w:rsidR="00A21BFB" w:rsidRPr="00A95E6D" w:rsidRDefault="000F14B4" w:rsidP="00622095">
            <w:pPr>
              <w:tabs>
                <w:tab w:val="left" w:pos="567"/>
                <w:tab w:val="left" w:pos="1134"/>
              </w:tabs>
              <w:spacing w:after="0"/>
              <w:rPr>
                <w:rFonts w:cs="Arial"/>
                <w:b/>
              </w:rPr>
            </w:pPr>
            <w:r>
              <w:rPr>
                <w:rFonts w:cs="Arial"/>
                <w:b/>
              </w:rPr>
              <w:t>-1.4</w:t>
            </w:r>
          </w:p>
        </w:tc>
        <w:tc>
          <w:tcPr>
            <w:tcW w:w="983" w:type="dxa"/>
            <w:vAlign w:val="center"/>
          </w:tcPr>
          <w:p w:rsidR="00A21BFB" w:rsidRPr="00A95E6D" w:rsidRDefault="004C1C4D" w:rsidP="00AC0E9B">
            <w:pPr>
              <w:tabs>
                <w:tab w:val="left" w:pos="567"/>
                <w:tab w:val="left" w:pos="1134"/>
              </w:tabs>
              <w:spacing w:after="0"/>
              <w:rPr>
                <w:rFonts w:cs="Arial"/>
                <w:b/>
              </w:rPr>
            </w:pPr>
            <w:r>
              <w:rPr>
                <w:rFonts w:cs="Arial"/>
                <w:b/>
              </w:rPr>
              <w:t>8.3</w:t>
            </w:r>
          </w:p>
        </w:tc>
      </w:tr>
    </w:tbl>
    <w:p w:rsidR="000B1C91" w:rsidRDefault="000B1C91" w:rsidP="000B1C91">
      <w:pPr>
        <w:tabs>
          <w:tab w:val="left" w:pos="567"/>
          <w:tab w:val="left" w:pos="1134"/>
        </w:tabs>
        <w:spacing w:after="0"/>
        <w:rPr>
          <w:rFonts w:cs="Arial"/>
        </w:rPr>
      </w:pPr>
    </w:p>
    <w:p w:rsidR="00E049F3" w:rsidRPr="00116F50" w:rsidRDefault="00E049F3" w:rsidP="00E049F3">
      <w:pPr>
        <w:tabs>
          <w:tab w:val="left" w:pos="567"/>
          <w:tab w:val="left" w:pos="1134"/>
        </w:tabs>
        <w:spacing w:after="0"/>
        <w:rPr>
          <w:rFonts w:cs="Arial"/>
        </w:rPr>
      </w:pPr>
      <w:r w:rsidRPr="00116F50">
        <w:rPr>
          <w:rFonts w:cs="Arial"/>
        </w:rPr>
        <w:t>Since the last MTFS there ha</w:t>
      </w:r>
      <w:r w:rsidR="00253113">
        <w:rPr>
          <w:rFonts w:cs="Arial"/>
        </w:rPr>
        <w:t>ve</w:t>
      </w:r>
      <w:r w:rsidRPr="00116F50">
        <w:rPr>
          <w:rFonts w:cs="Arial"/>
        </w:rPr>
        <w:t xml:space="preserve"> been a number of changes in the demand assumptions. The key areas are:</w:t>
      </w:r>
    </w:p>
    <w:p w:rsidR="00E049F3" w:rsidRDefault="00E049F3" w:rsidP="00E049F3">
      <w:pPr>
        <w:tabs>
          <w:tab w:val="left" w:pos="567"/>
          <w:tab w:val="left" w:pos="1134"/>
        </w:tabs>
        <w:spacing w:after="0"/>
        <w:rPr>
          <w:rFonts w:cs="Arial"/>
          <w:b/>
        </w:rPr>
      </w:pPr>
    </w:p>
    <w:p w:rsidR="00E049F3" w:rsidRPr="00253113" w:rsidRDefault="00DF183E" w:rsidP="00253113">
      <w:pPr>
        <w:pStyle w:val="ListParagraph"/>
        <w:numPr>
          <w:ilvl w:val="0"/>
          <w:numId w:val="40"/>
        </w:numPr>
        <w:ind w:left="426" w:hanging="426"/>
        <w:rPr>
          <w:color w:val="auto"/>
        </w:rPr>
      </w:pPr>
      <w:r>
        <w:rPr>
          <w:color w:val="auto"/>
        </w:rPr>
        <w:t xml:space="preserve">An Actuarial review undertaken since the original MTFS report </w:t>
      </w:r>
      <w:r w:rsidR="00E049F3" w:rsidRPr="00253113">
        <w:rPr>
          <w:color w:val="auto"/>
        </w:rPr>
        <w:t xml:space="preserve">has revealed a significant shortfall in the provision for insurance claims </w:t>
      </w:r>
      <w:r>
        <w:rPr>
          <w:color w:val="auto"/>
        </w:rPr>
        <w:t xml:space="preserve">caused primarily by </w:t>
      </w:r>
      <w:r w:rsidR="00E049F3" w:rsidRPr="00253113">
        <w:rPr>
          <w:color w:val="auto"/>
        </w:rPr>
        <w:t xml:space="preserve">a significant amount of </w:t>
      </w:r>
      <w:r>
        <w:rPr>
          <w:color w:val="auto"/>
        </w:rPr>
        <w:t xml:space="preserve">potential </w:t>
      </w:r>
      <w:r w:rsidR="00E049F3" w:rsidRPr="00253113">
        <w:rPr>
          <w:color w:val="auto"/>
        </w:rPr>
        <w:t>back claims on top of in year new claims</w:t>
      </w:r>
      <w:r w:rsidR="00AC0E9B">
        <w:rPr>
          <w:color w:val="auto"/>
        </w:rPr>
        <w:t>. This has resulted in an</w:t>
      </w:r>
      <w:r w:rsidR="00E049F3" w:rsidRPr="00253113">
        <w:rPr>
          <w:color w:val="auto"/>
        </w:rPr>
        <w:t xml:space="preserve"> </w:t>
      </w:r>
      <w:r w:rsidR="00AC0E9B">
        <w:rPr>
          <w:color w:val="auto"/>
        </w:rPr>
        <w:t xml:space="preserve">increasing </w:t>
      </w:r>
      <w:r w:rsidR="000B1B4D">
        <w:rPr>
          <w:color w:val="auto"/>
        </w:rPr>
        <w:t xml:space="preserve">of </w:t>
      </w:r>
      <w:r w:rsidR="00E62ADD">
        <w:rPr>
          <w:color w:val="auto"/>
        </w:rPr>
        <w:t>the</w:t>
      </w:r>
      <w:r w:rsidR="00E049F3" w:rsidRPr="00253113">
        <w:rPr>
          <w:color w:val="auto"/>
        </w:rPr>
        <w:t xml:space="preserve"> provision </w:t>
      </w:r>
      <w:r w:rsidR="00E62ADD">
        <w:rPr>
          <w:color w:val="auto"/>
        </w:rPr>
        <w:t>by</w:t>
      </w:r>
      <w:r w:rsidR="00E62ADD" w:rsidRPr="00253113">
        <w:rPr>
          <w:color w:val="auto"/>
        </w:rPr>
        <w:t xml:space="preserve"> </w:t>
      </w:r>
      <w:r w:rsidR="00E049F3" w:rsidRPr="00253113">
        <w:rPr>
          <w:color w:val="auto"/>
        </w:rPr>
        <w:t>£5.8m in 2016/17 reducing to £4.3m in future years.</w:t>
      </w:r>
    </w:p>
    <w:p w:rsidR="00956464" w:rsidRDefault="00956464" w:rsidP="00956464">
      <w:pPr>
        <w:pStyle w:val="ListParagraph"/>
        <w:ind w:left="426"/>
        <w:rPr>
          <w:color w:val="auto"/>
        </w:rPr>
      </w:pPr>
    </w:p>
    <w:p w:rsidR="00E729AE" w:rsidRPr="00E729AE" w:rsidRDefault="008441C9" w:rsidP="00220D0A">
      <w:pPr>
        <w:pStyle w:val="ListParagraph"/>
        <w:numPr>
          <w:ilvl w:val="0"/>
          <w:numId w:val="40"/>
        </w:numPr>
        <w:rPr>
          <w:rFonts w:eastAsiaTheme="minorHAnsi" w:cs="Times New Roman"/>
          <w:color w:val="auto"/>
          <w:sz w:val="22"/>
          <w:szCs w:val="22"/>
        </w:rPr>
      </w:pPr>
      <w:r>
        <w:rPr>
          <w:color w:val="auto"/>
        </w:rPr>
        <w:t xml:space="preserve">The cost </w:t>
      </w:r>
      <w:r w:rsidR="00E729AE">
        <w:rPr>
          <w:color w:val="auto"/>
        </w:rPr>
        <w:t xml:space="preserve">of </w:t>
      </w:r>
      <w:r>
        <w:rPr>
          <w:color w:val="auto"/>
        </w:rPr>
        <w:t xml:space="preserve">children's social care </w:t>
      </w:r>
      <w:r w:rsidR="00802E4B">
        <w:rPr>
          <w:color w:val="auto"/>
        </w:rPr>
        <w:t>is estimated to be</w:t>
      </w:r>
      <w:r w:rsidR="00E049F3" w:rsidRPr="00253113">
        <w:rPr>
          <w:color w:val="auto"/>
        </w:rPr>
        <w:t xml:space="preserve"> £</w:t>
      </w:r>
      <w:r w:rsidR="00220D0A">
        <w:rPr>
          <w:color w:val="auto"/>
        </w:rPr>
        <w:t>9</w:t>
      </w:r>
      <w:r w:rsidR="00E049F3" w:rsidRPr="00253113">
        <w:rPr>
          <w:color w:val="auto"/>
        </w:rPr>
        <w:t>.</w:t>
      </w:r>
      <w:r>
        <w:rPr>
          <w:color w:val="auto"/>
        </w:rPr>
        <w:t>1</w:t>
      </w:r>
      <w:r w:rsidR="00E049F3" w:rsidRPr="00253113">
        <w:rPr>
          <w:color w:val="auto"/>
        </w:rPr>
        <w:t>m</w:t>
      </w:r>
      <w:r>
        <w:rPr>
          <w:color w:val="auto"/>
        </w:rPr>
        <w:t xml:space="preserve"> </w:t>
      </w:r>
      <w:r w:rsidR="009E0066">
        <w:rPr>
          <w:color w:val="auto"/>
        </w:rPr>
        <w:t xml:space="preserve">higher </w:t>
      </w:r>
      <w:r>
        <w:rPr>
          <w:color w:val="auto"/>
        </w:rPr>
        <w:t>than previously anticipated</w:t>
      </w:r>
      <w:r w:rsidR="00E729AE">
        <w:rPr>
          <w:color w:val="auto"/>
        </w:rPr>
        <w:t>.</w:t>
      </w:r>
      <w:r w:rsidR="00220D0A">
        <w:rPr>
          <w:color w:val="auto"/>
        </w:rPr>
        <w:t xml:space="preserve"> </w:t>
      </w:r>
      <w:r w:rsidR="004323C2">
        <w:rPr>
          <w:color w:val="auto"/>
        </w:rPr>
        <w:t xml:space="preserve"> Of this £4.1m covers the cost of population changes and the anticipated increase in the number of children in care. </w:t>
      </w:r>
      <w:r w:rsidR="00220D0A">
        <w:rPr>
          <w:color w:val="auto"/>
        </w:rPr>
        <w:t xml:space="preserve">The </w:t>
      </w:r>
      <w:r w:rsidR="004323C2">
        <w:rPr>
          <w:color w:val="auto"/>
        </w:rPr>
        <w:t xml:space="preserve">additional £5m </w:t>
      </w:r>
      <w:r w:rsidR="00220D0A" w:rsidRPr="00220D0A">
        <w:rPr>
          <w:color w:val="auto"/>
        </w:rPr>
        <w:t>relates to initial estimate</w:t>
      </w:r>
      <w:r w:rsidR="001D538C">
        <w:rPr>
          <w:color w:val="auto"/>
        </w:rPr>
        <w:t>s</w:t>
      </w:r>
      <w:r w:rsidR="00220D0A" w:rsidRPr="00220D0A">
        <w:rPr>
          <w:color w:val="auto"/>
        </w:rPr>
        <w:t xml:space="preserve"> of</w:t>
      </w:r>
      <w:r w:rsidR="00592591">
        <w:rPr>
          <w:color w:val="auto"/>
        </w:rPr>
        <w:t xml:space="preserve"> the</w:t>
      </w:r>
      <w:r w:rsidR="00220D0A" w:rsidRPr="00220D0A">
        <w:rPr>
          <w:color w:val="auto"/>
        </w:rPr>
        <w:t xml:space="preserve"> additional social worker capacity</w:t>
      </w:r>
      <w:r w:rsidR="00220D0A">
        <w:rPr>
          <w:color w:val="auto"/>
        </w:rPr>
        <w:t xml:space="preserve"> </w:t>
      </w:r>
      <w:r w:rsidR="00220D0A" w:rsidRPr="00220D0A">
        <w:rPr>
          <w:color w:val="auto"/>
        </w:rPr>
        <w:t xml:space="preserve">requirement reflecting </w:t>
      </w:r>
      <w:r w:rsidR="001D538C">
        <w:rPr>
          <w:color w:val="auto"/>
        </w:rPr>
        <w:t xml:space="preserve">increasing </w:t>
      </w:r>
      <w:r w:rsidR="00220D0A" w:rsidRPr="00220D0A">
        <w:rPr>
          <w:color w:val="auto"/>
        </w:rPr>
        <w:t xml:space="preserve">demand and </w:t>
      </w:r>
      <w:r w:rsidR="001D538C">
        <w:rPr>
          <w:color w:val="auto"/>
        </w:rPr>
        <w:t xml:space="preserve">the </w:t>
      </w:r>
      <w:r w:rsidR="00220D0A" w:rsidRPr="00220D0A">
        <w:rPr>
          <w:color w:val="auto"/>
        </w:rPr>
        <w:t>potential impact of the Ofsted inspection.</w:t>
      </w:r>
      <w:r w:rsidR="00220D0A">
        <w:rPr>
          <w:color w:val="auto"/>
        </w:rPr>
        <w:t xml:space="preserve"> </w:t>
      </w:r>
    </w:p>
    <w:p w:rsidR="00E729AE" w:rsidRPr="00E729AE" w:rsidRDefault="00E729AE" w:rsidP="00E729AE">
      <w:pPr>
        <w:pStyle w:val="ListParagraph"/>
        <w:rPr>
          <w:rFonts w:eastAsiaTheme="minorHAnsi" w:cs="Times New Roman"/>
          <w:color w:val="auto"/>
          <w:sz w:val="22"/>
          <w:szCs w:val="22"/>
        </w:rPr>
      </w:pPr>
    </w:p>
    <w:p w:rsidR="00956464" w:rsidRDefault="00F67B58" w:rsidP="000B1B4D">
      <w:pPr>
        <w:pStyle w:val="ListParagraph"/>
        <w:numPr>
          <w:ilvl w:val="0"/>
          <w:numId w:val="40"/>
        </w:numPr>
        <w:ind w:left="426" w:hanging="426"/>
        <w:rPr>
          <w:rFonts w:eastAsiaTheme="minorHAnsi" w:cs="Times New Roman"/>
          <w:color w:val="auto"/>
        </w:rPr>
      </w:pPr>
      <w:r w:rsidRPr="00F67B58">
        <w:rPr>
          <w:rFonts w:eastAsiaTheme="minorHAnsi" w:cs="Times New Roman"/>
          <w:color w:val="auto"/>
        </w:rPr>
        <w:t xml:space="preserve">Transport costs via travelcare are anticipated to increase by £1.1m. This reflects </w:t>
      </w:r>
      <w:r w:rsidR="000B1B4D">
        <w:rPr>
          <w:rFonts w:eastAsiaTheme="minorHAnsi" w:cs="Times New Roman"/>
          <w:color w:val="auto"/>
        </w:rPr>
        <w:t xml:space="preserve">estimated </w:t>
      </w:r>
      <w:r w:rsidRPr="00F67B58">
        <w:rPr>
          <w:rFonts w:eastAsiaTheme="minorHAnsi" w:cs="Times New Roman"/>
          <w:color w:val="auto"/>
        </w:rPr>
        <w:t xml:space="preserve">increased demand </w:t>
      </w:r>
      <w:r w:rsidR="000B1B4D">
        <w:rPr>
          <w:rFonts w:eastAsiaTheme="minorHAnsi" w:cs="Times New Roman"/>
          <w:color w:val="auto"/>
        </w:rPr>
        <w:t xml:space="preserve">for those services from both </w:t>
      </w:r>
      <w:r w:rsidRPr="00F67B58">
        <w:rPr>
          <w:rFonts w:eastAsiaTheme="minorHAnsi" w:cs="Times New Roman"/>
          <w:color w:val="auto"/>
        </w:rPr>
        <w:t>Adults and Children's service</w:t>
      </w:r>
      <w:r w:rsidR="000B1B4D">
        <w:rPr>
          <w:rFonts w:eastAsiaTheme="minorHAnsi" w:cs="Times New Roman"/>
          <w:color w:val="auto"/>
        </w:rPr>
        <w:t>s.</w:t>
      </w:r>
      <w:r w:rsidRPr="00F67B58">
        <w:rPr>
          <w:rFonts w:eastAsiaTheme="minorHAnsi" w:cs="Times New Roman"/>
          <w:color w:val="auto"/>
        </w:rPr>
        <w:t> </w:t>
      </w:r>
    </w:p>
    <w:p w:rsidR="000B1B4D" w:rsidRPr="000B1B4D" w:rsidRDefault="000B1B4D" w:rsidP="000B1B4D">
      <w:pPr>
        <w:pStyle w:val="ListParagraph"/>
        <w:rPr>
          <w:rFonts w:eastAsiaTheme="minorHAnsi" w:cs="Times New Roman"/>
          <w:color w:val="auto"/>
        </w:rPr>
      </w:pPr>
    </w:p>
    <w:p w:rsidR="00956464" w:rsidRPr="000B1B4D" w:rsidRDefault="00E049F3" w:rsidP="00956464">
      <w:pPr>
        <w:pStyle w:val="ListParagraph"/>
        <w:numPr>
          <w:ilvl w:val="0"/>
          <w:numId w:val="40"/>
        </w:numPr>
        <w:ind w:left="426" w:hanging="426"/>
        <w:rPr>
          <w:rFonts w:eastAsiaTheme="minorHAnsi" w:cs="Times New Roman"/>
          <w:color w:val="auto"/>
          <w:sz w:val="22"/>
          <w:szCs w:val="22"/>
        </w:rPr>
      </w:pPr>
      <w:r w:rsidRPr="00253113">
        <w:rPr>
          <w:color w:val="auto"/>
        </w:rPr>
        <w:t xml:space="preserve">Demand for adult </w:t>
      </w:r>
      <w:r w:rsidRPr="00D84332">
        <w:rPr>
          <w:color w:val="auto"/>
        </w:rPr>
        <w:t xml:space="preserve">social care </w:t>
      </w:r>
      <w:r w:rsidR="00D84332" w:rsidRPr="00D84332">
        <w:rPr>
          <w:color w:val="auto"/>
        </w:rPr>
        <w:t xml:space="preserve">services </w:t>
      </w:r>
      <w:r w:rsidRPr="00D84332">
        <w:rPr>
          <w:color w:val="auto"/>
        </w:rPr>
        <w:t>has been reviewed resulting in a reduced provision of £6.7m</w:t>
      </w:r>
      <w:r w:rsidR="00DF300F" w:rsidRPr="00D84332">
        <w:rPr>
          <w:color w:val="auto"/>
        </w:rPr>
        <w:t>.</w:t>
      </w:r>
      <w:r w:rsidR="00D84332" w:rsidRPr="00D84332">
        <w:rPr>
          <w:color w:val="auto"/>
        </w:rPr>
        <w:t xml:space="preserve"> This</w:t>
      </w:r>
      <w:r w:rsidR="00D84332">
        <w:rPr>
          <w:color w:val="auto"/>
        </w:rPr>
        <w:t xml:space="preserve"> is largely the result of reviewing potential client numbers for those with mental health needs.</w:t>
      </w:r>
    </w:p>
    <w:p w:rsidR="000B1B4D" w:rsidRPr="000B1B4D" w:rsidRDefault="000B1B4D" w:rsidP="000B1B4D">
      <w:pPr>
        <w:pStyle w:val="ListParagraph"/>
        <w:rPr>
          <w:rFonts w:eastAsiaTheme="minorHAnsi" w:cs="Times New Roman"/>
          <w:color w:val="auto"/>
          <w:sz w:val="22"/>
          <w:szCs w:val="22"/>
        </w:rPr>
      </w:pPr>
    </w:p>
    <w:p w:rsidR="00F67B58" w:rsidRPr="00956464" w:rsidRDefault="00F67B58" w:rsidP="00956464">
      <w:pPr>
        <w:pStyle w:val="ListParagraph"/>
        <w:numPr>
          <w:ilvl w:val="0"/>
          <w:numId w:val="40"/>
        </w:numPr>
        <w:ind w:left="426" w:hanging="426"/>
        <w:rPr>
          <w:rFonts w:eastAsiaTheme="minorHAnsi" w:cs="Times New Roman"/>
          <w:color w:val="auto"/>
          <w:sz w:val="22"/>
          <w:szCs w:val="22"/>
        </w:rPr>
      </w:pPr>
      <w:r>
        <w:rPr>
          <w:color w:val="auto"/>
        </w:rPr>
        <w:t xml:space="preserve">There are various smaller </w:t>
      </w:r>
      <w:r w:rsidR="000B1B4D">
        <w:rPr>
          <w:color w:val="auto"/>
        </w:rPr>
        <w:t xml:space="preserve">additional </w:t>
      </w:r>
      <w:r>
        <w:rPr>
          <w:color w:val="auto"/>
        </w:rPr>
        <w:t>demand pressures across services amounting to £0.5m</w:t>
      </w:r>
    </w:p>
    <w:p w:rsidR="00956464" w:rsidRPr="00956464" w:rsidRDefault="00956464" w:rsidP="00956464">
      <w:pPr>
        <w:pStyle w:val="ListParagraph"/>
        <w:rPr>
          <w:rFonts w:eastAsiaTheme="minorHAnsi" w:cs="Times New Roman"/>
          <w:color w:val="auto"/>
          <w:sz w:val="22"/>
          <w:szCs w:val="22"/>
        </w:rPr>
      </w:pPr>
    </w:p>
    <w:p w:rsidR="000B1C91" w:rsidRDefault="00A21BFB" w:rsidP="000B1B4D">
      <w:pPr>
        <w:spacing w:after="0"/>
        <w:rPr>
          <w:rFonts w:cs="Arial"/>
        </w:rPr>
      </w:pPr>
      <w:r>
        <w:rPr>
          <w:rFonts w:cs="Arial"/>
        </w:rPr>
        <w:t>In total</w:t>
      </w:r>
      <w:r w:rsidR="000F0210">
        <w:rPr>
          <w:rFonts w:cs="Arial"/>
        </w:rPr>
        <w:t xml:space="preserve">, </w:t>
      </w:r>
      <w:r w:rsidR="000B1C91" w:rsidRPr="002E3569">
        <w:rPr>
          <w:rFonts w:cs="Arial"/>
        </w:rPr>
        <w:t>adult social care represents approximately 70% of the demand</w:t>
      </w:r>
      <w:r w:rsidR="000B1C91">
        <w:rPr>
          <w:rFonts w:cs="Arial"/>
          <w:b/>
        </w:rPr>
        <w:t xml:space="preserve"> </w:t>
      </w:r>
      <w:r w:rsidR="000B1C91" w:rsidRPr="002E3569">
        <w:rPr>
          <w:rFonts w:cs="Arial"/>
        </w:rPr>
        <w:t>pressures.</w:t>
      </w:r>
      <w:r w:rsidR="000B1C91">
        <w:rPr>
          <w:rFonts w:cs="Arial"/>
          <w:b/>
        </w:rPr>
        <w:t xml:space="preserve">  </w:t>
      </w:r>
      <w:r w:rsidR="000B1C91">
        <w:rPr>
          <w:rFonts w:cs="Arial"/>
        </w:rPr>
        <w:t xml:space="preserve">Adult social care has long seen annual </w:t>
      </w:r>
      <w:r w:rsidR="000B1C91" w:rsidRPr="00C10282">
        <w:rPr>
          <w:rFonts w:cs="Arial"/>
        </w:rPr>
        <w:t>increase</w:t>
      </w:r>
      <w:r w:rsidR="000B1C91">
        <w:rPr>
          <w:rFonts w:cs="Arial"/>
        </w:rPr>
        <w:t>s</w:t>
      </w:r>
      <w:r w:rsidR="000B1C91" w:rsidRPr="00C10282">
        <w:rPr>
          <w:rFonts w:cs="Arial"/>
        </w:rPr>
        <w:t xml:space="preserve"> in</w:t>
      </w:r>
      <w:r w:rsidR="00C924A3">
        <w:rPr>
          <w:rFonts w:cs="Arial"/>
        </w:rPr>
        <w:t xml:space="preserve"> the demand for services and</w:t>
      </w:r>
      <w:r w:rsidR="000B1C91">
        <w:rPr>
          <w:rFonts w:cs="Arial"/>
        </w:rPr>
        <w:t xml:space="preserve"> the </w:t>
      </w:r>
      <w:r w:rsidR="00C924A3">
        <w:rPr>
          <w:rFonts w:cs="Arial"/>
        </w:rPr>
        <w:t>MTFS</w:t>
      </w:r>
      <w:r w:rsidR="000B1C91">
        <w:rPr>
          <w:rFonts w:cs="Arial"/>
        </w:rPr>
        <w:t xml:space="preserve"> attempts to predict growth in future years</w:t>
      </w:r>
      <w:r w:rsidR="00934781">
        <w:rPr>
          <w:rFonts w:cs="Arial"/>
        </w:rPr>
        <w:t xml:space="preserve"> largely</w:t>
      </w:r>
      <w:r w:rsidR="000B1C91">
        <w:rPr>
          <w:rFonts w:cs="Arial"/>
        </w:rPr>
        <w:t xml:space="preserve"> based on past activity trends</w:t>
      </w:r>
      <w:r w:rsidR="000B1B4D">
        <w:rPr>
          <w:rFonts w:cs="Arial"/>
        </w:rPr>
        <w:t xml:space="preserve"> but also taking into account future population changes.</w:t>
      </w:r>
    </w:p>
    <w:p w:rsidR="000B1B4D" w:rsidRDefault="000B1B4D" w:rsidP="000B1B4D">
      <w:pPr>
        <w:spacing w:after="0"/>
        <w:rPr>
          <w:rFonts w:cs="Arial"/>
        </w:rPr>
      </w:pPr>
    </w:p>
    <w:p w:rsidR="000B1C91" w:rsidRDefault="000B1C91" w:rsidP="000B1C91">
      <w:pPr>
        <w:rPr>
          <w:rFonts w:cs="Arial"/>
        </w:rPr>
      </w:pPr>
      <w:r>
        <w:rPr>
          <w:rFonts w:cs="Arial"/>
        </w:rPr>
        <w:t>In deriving the estimated cost of demand the following projections have been used:</w:t>
      </w:r>
    </w:p>
    <w:p w:rsidR="000B1C91" w:rsidRDefault="000B1C91" w:rsidP="003135E1">
      <w:pPr>
        <w:pStyle w:val="ListParagraph"/>
        <w:numPr>
          <w:ilvl w:val="0"/>
          <w:numId w:val="31"/>
        </w:numPr>
        <w:ind w:left="426" w:hanging="437"/>
        <w:rPr>
          <w:rFonts w:cs="Arial"/>
        </w:rPr>
      </w:pPr>
      <w:r w:rsidRPr="000B1C91">
        <w:rPr>
          <w:rFonts w:cs="Arial"/>
        </w:rPr>
        <w:t>Older People – population projections from the ONS for the aged over 85 population</w:t>
      </w:r>
      <w:r w:rsidR="00C924A3">
        <w:rPr>
          <w:rFonts w:cs="Arial"/>
        </w:rPr>
        <w:t>.</w:t>
      </w:r>
    </w:p>
    <w:p w:rsidR="000B1B4D" w:rsidRPr="000B1C91" w:rsidRDefault="000B1B4D" w:rsidP="000B1B4D">
      <w:pPr>
        <w:pStyle w:val="ListParagraph"/>
        <w:ind w:left="426"/>
        <w:rPr>
          <w:rFonts w:cs="Arial"/>
        </w:rPr>
      </w:pPr>
    </w:p>
    <w:tbl>
      <w:tblPr>
        <w:tblW w:w="5195" w:type="dxa"/>
        <w:tblInd w:w="745" w:type="dxa"/>
        <w:tblLook w:val="04A0" w:firstRow="1" w:lastRow="0" w:firstColumn="1" w:lastColumn="0" w:noHBand="0" w:noVBand="1"/>
      </w:tblPr>
      <w:tblGrid>
        <w:gridCol w:w="1084"/>
        <w:gridCol w:w="1084"/>
        <w:gridCol w:w="1084"/>
        <w:gridCol w:w="1084"/>
        <w:gridCol w:w="1084"/>
      </w:tblGrid>
      <w:tr w:rsidR="000B1C91" w:rsidRPr="00C55496" w:rsidTr="00560829">
        <w:trPr>
          <w:trHeight w:val="300"/>
        </w:trPr>
        <w:tc>
          <w:tcPr>
            <w:tcW w:w="1039"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bottom"/>
            <w:hideMark/>
          </w:tcPr>
          <w:p w:rsidR="000B1C91" w:rsidRPr="00560829" w:rsidRDefault="000B1C91" w:rsidP="00934781">
            <w:pPr>
              <w:spacing w:after="0"/>
              <w:jc w:val="center"/>
              <w:rPr>
                <w:rFonts w:eastAsia="Times New Roman" w:cs="Arial"/>
                <w:b/>
                <w:lang w:eastAsia="en-GB"/>
              </w:rPr>
            </w:pPr>
            <w:r w:rsidRPr="00560829">
              <w:rPr>
                <w:rFonts w:eastAsia="Times New Roman" w:cs="Arial"/>
                <w:b/>
                <w:lang w:eastAsia="en-GB"/>
              </w:rPr>
              <w:t>2016/17</w:t>
            </w:r>
          </w:p>
        </w:tc>
        <w:tc>
          <w:tcPr>
            <w:tcW w:w="103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0B1C91" w:rsidRPr="00560829" w:rsidRDefault="000B1C91" w:rsidP="00934781">
            <w:pPr>
              <w:spacing w:after="0"/>
              <w:jc w:val="center"/>
              <w:rPr>
                <w:rFonts w:eastAsia="Times New Roman" w:cs="Arial"/>
                <w:b/>
                <w:lang w:eastAsia="en-GB"/>
              </w:rPr>
            </w:pPr>
            <w:r w:rsidRPr="00560829">
              <w:rPr>
                <w:rFonts w:eastAsia="Times New Roman" w:cs="Arial"/>
                <w:b/>
                <w:lang w:eastAsia="en-GB"/>
              </w:rPr>
              <w:t>2017/18</w:t>
            </w:r>
          </w:p>
        </w:tc>
        <w:tc>
          <w:tcPr>
            <w:tcW w:w="103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0B1C91" w:rsidRPr="00560829" w:rsidRDefault="000B1C91" w:rsidP="00934781">
            <w:pPr>
              <w:spacing w:after="0"/>
              <w:jc w:val="center"/>
              <w:rPr>
                <w:rFonts w:eastAsia="Times New Roman" w:cs="Arial"/>
                <w:b/>
                <w:lang w:eastAsia="en-GB"/>
              </w:rPr>
            </w:pPr>
            <w:r w:rsidRPr="00560829">
              <w:rPr>
                <w:rFonts w:eastAsia="Times New Roman" w:cs="Arial"/>
                <w:b/>
                <w:lang w:eastAsia="en-GB"/>
              </w:rPr>
              <w:t>2018/19</w:t>
            </w:r>
          </w:p>
        </w:tc>
        <w:tc>
          <w:tcPr>
            <w:tcW w:w="103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0B1C91" w:rsidRPr="00560829" w:rsidRDefault="000B1C91" w:rsidP="00934781">
            <w:pPr>
              <w:spacing w:after="0"/>
              <w:jc w:val="center"/>
              <w:rPr>
                <w:rFonts w:eastAsia="Times New Roman" w:cs="Arial"/>
                <w:b/>
                <w:lang w:eastAsia="en-GB"/>
              </w:rPr>
            </w:pPr>
            <w:r w:rsidRPr="00560829">
              <w:rPr>
                <w:rFonts w:eastAsia="Times New Roman" w:cs="Arial"/>
                <w:b/>
                <w:lang w:eastAsia="en-GB"/>
              </w:rPr>
              <w:t>2019/20</w:t>
            </w:r>
          </w:p>
        </w:tc>
        <w:tc>
          <w:tcPr>
            <w:tcW w:w="1039" w:type="dxa"/>
            <w:tcBorders>
              <w:top w:val="single" w:sz="4" w:space="0" w:color="auto"/>
              <w:left w:val="nil"/>
              <w:bottom w:val="single" w:sz="4" w:space="0" w:color="auto"/>
              <w:right w:val="single" w:sz="4" w:space="0" w:color="auto"/>
            </w:tcBorders>
            <w:shd w:val="clear" w:color="auto" w:fill="BFBFBF" w:themeFill="background1" w:themeFillShade="BF"/>
            <w:noWrap/>
            <w:vAlign w:val="bottom"/>
            <w:hideMark/>
          </w:tcPr>
          <w:p w:rsidR="000B1C91" w:rsidRPr="00560829" w:rsidRDefault="000B1C91" w:rsidP="00934781">
            <w:pPr>
              <w:spacing w:after="0"/>
              <w:jc w:val="center"/>
              <w:rPr>
                <w:rFonts w:eastAsia="Times New Roman" w:cs="Arial"/>
                <w:b/>
                <w:lang w:eastAsia="en-GB"/>
              </w:rPr>
            </w:pPr>
            <w:r w:rsidRPr="00560829">
              <w:rPr>
                <w:rFonts w:eastAsia="Times New Roman" w:cs="Arial"/>
                <w:b/>
                <w:lang w:eastAsia="en-GB"/>
              </w:rPr>
              <w:t>2020/21</w:t>
            </w:r>
          </w:p>
        </w:tc>
      </w:tr>
      <w:tr w:rsidR="000B1C91" w:rsidRPr="00C55496" w:rsidTr="00C924A3">
        <w:trPr>
          <w:trHeight w:val="300"/>
        </w:trPr>
        <w:tc>
          <w:tcPr>
            <w:tcW w:w="1039" w:type="dxa"/>
            <w:tcBorders>
              <w:top w:val="nil"/>
              <w:left w:val="single" w:sz="4" w:space="0" w:color="auto"/>
              <w:bottom w:val="single" w:sz="4" w:space="0" w:color="auto"/>
              <w:right w:val="single" w:sz="4" w:space="0" w:color="auto"/>
            </w:tcBorders>
            <w:shd w:val="clear" w:color="auto" w:fill="auto"/>
            <w:noWrap/>
            <w:vAlign w:val="bottom"/>
            <w:hideMark/>
          </w:tcPr>
          <w:p w:rsidR="000B1C91" w:rsidRPr="00253113" w:rsidRDefault="000B1C91" w:rsidP="00934781">
            <w:pPr>
              <w:spacing w:after="0"/>
              <w:jc w:val="center"/>
              <w:rPr>
                <w:rFonts w:eastAsia="Times New Roman" w:cs="Arial"/>
                <w:lang w:eastAsia="en-GB"/>
              </w:rPr>
            </w:pPr>
            <w:r w:rsidRPr="00253113">
              <w:rPr>
                <w:rFonts w:eastAsia="Times New Roman" w:cs="Arial"/>
                <w:lang w:eastAsia="en-GB"/>
              </w:rPr>
              <w:t>2.86%</w:t>
            </w:r>
          </w:p>
        </w:tc>
        <w:tc>
          <w:tcPr>
            <w:tcW w:w="1039" w:type="dxa"/>
            <w:tcBorders>
              <w:top w:val="nil"/>
              <w:left w:val="nil"/>
              <w:bottom w:val="single" w:sz="4" w:space="0" w:color="auto"/>
              <w:right w:val="single" w:sz="4" w:space="0" w:color="auto"/>
            </w:tcBorders>
            <w:shd w:val="clear" w:color="auto" w:fill="auto"/>
            <w:noWrap/>
            <w:vAlign w:val="bottom"/>
            <w:hideMark/>
          </w:tcPr>
          <w:p w:rsidR="000B1C91" w:rsidRPr="00253113" w:rsidRDefault="000B1C91" w:rsidP="00934781">
            <w:pPr>
              <w:spacing w:after="0"/>
              <w:jc w:val="center"/>
              <w:rPr>
                <w:rFonts w:eastAsia="Times New Roman" w:cs="Arial"/>
                <w:lang w:eastAsia="en-GB"/>
              </w:rPr>
            </w:pPr>
            <w:r w:rsidRPr="00253113">
              <w:rPr>
                <w:rFonts w:eastAsia="Times New Roman" w:cs="Arial"/>
                <w:lang w:eastAsia="en-GB"/>
              </w:rPr>
              <w:t>2.78%</w:t>
            </w:r>
          </w:p>
        </w:tc>
        <w:tc>
          <w:tcPr>
            <w:tcW w:w="1039" w:type="dxa"/>
            <w:tcBorders>
              <w:top w:val="nil"/>
              <w:left w:val="nil"/>
              <w:bottom w:val="single" w:sz="4" w:space="0" w:color="auto"/>
              <w:right w:val="single" w:sz="4" w:space="0" w:color="auto"/>
            </w:tcBorders>
            <w:shd w:val="clear" w:color="auto" w:fill="auto"/>
            <w:noWrap/>
            <w:vAlign w:val="bottom"/>
            <w:hideMark/>
          </w:tcPr>
          <w:p w:rsidR="000B1C91" w:rsidRPr="00253113" w:rsidRDefault="000B1C91" w:rsidP="00934781">
            <w:pPr>
              <w:spacing w:after="0"/>
              <w:jc w:val="center"/>
              <w:rPr>
                <w:rFonts w:eastAsia="Times New Roman" w:cs="Arial"/>
                <w:lang w:eastAsia="en-GB"/>
              </w:rPr>
            </w:pPr>
            <w:r w:rsidRPr="00253113">
              <w:rPr>
                <w:rFonts w:eastAsia="Times New Roman" w:cs="Arial"/>
                <w:lang w:eastAsia="en-GB"/>
              </w:rPr>
              <w:t>3.30%</w:t>
            </w:r>
          </w:p>
        </w:tc>
        <w:tc>
          <w:tcPr>
            <w:tcW w:w="1039" w:type="dxa"/>
            <w:tcBorders>
              <w:top w:val="nil"/>
              <w:left w:val="nil"/>
              <w:bottom w:val="single" w:sz="4" w:space="0" w:color="auto"/>
              <w:right w:val="single" w:sz="4" w:space="0" w:color="auto"/>
            </w:tcBorders>
            <w:shd w:val="clear" w:color="auto" w:fill="auto"/>
            <w:noWrap/>
            <w:vAlign w:val="bottom"/>
            <w:hideMark/>
          </w:tcPr>
          <w:p w:rsidR="000B1C91" w:rsidRPr="00253113" w:rsidRDefault="000B1C91" w:rsidP="00934781">
            <w:pPr>
              <w:spacing w:after="0"/>
              <w:jc w:val="center"/>
              <w:rPr>
                <w:rFonts w:eastAsia="Times New Roman" w:cs="Arial"/>
                <w:lang w:eastAsia="en-GB"/>
              </w:rPr>
            </w:pPr>
            <w:r w:rsidRPr="00253113">
              <w:rPr>
                <w:rFonts w:eastAsia="Times New Roman" w:cs="Arial"/>
                <w:lang w:eastAsia="en-GB"/>
              </w:rPr>
              <w:t>3.49%</w:t>
            </w:r>
          </w:p>
        </w:tc>
        <w:tc>
          <w:tcPr>
            <w:tcW w:w="1039" w:type="dxa"/>
            <w:tcBorders>
              <w:top w:val="nil"/>
              <w:left w:val="nil"/>
              <w:bottom w:val="single" w:sz="4" w:space="0" w:color="auto"/>
              <w:right w:val="single" w:sz="4" w:space="0" w:color="auto"/>
            </w:tcBorders>
            <w:shd w:val="clear" w:color="auto" w:fill="auto"/>
            <w:noWrap/>
            <w:vAlign w:val="bottom"/>
            <w:hideMark/>
          </w:tcPr>
          <w:p w:rsidR="000B1C91" w:rsidRPr="00253113" w:rsidRDefault="000B1C91" w:rsidP="00934781">
            <w:pPr>
              <w:spacing w:after="0"/>
              <w:jc w:val="center"/>
              <w:rPr>
                <w:rFonts w:eastAsia="Times New Roman" w:cs="Arial"/>
                <w:lang w:eastAsia="en-GB"/>
              </w:rPr>
            </w:pPr>
            <w:r w:rsidRPr="00253113">
              <w:rPr>
                <w:rFonts w:eastAsia="Times New Roman" w:cs="Arial"/>
                <w:lang w:eastAsia="en-GB"/>
              </w:rPr>
              <w:t>4.21%</w:t>
            </w:r>
          </w:p>
        </w:tc>
      </w:tr>
    </w:tbl>
    <w:p w:rsidR="000B1C91" w:rsidRDefault="000B1C91" w:rsidP="000B1C91">
      <w:pPr>
        <w:rPr>
          <w:rFonts w:cs="Arial"/>
        </w:rPr>
      </w:pPr>
    </w:p>
    <w:p w:rsidR="000B1C91" w:rsidRDefault="000B1C91" w:rsidP="003135E1">
      <w:pPr>
        <w:pStyle w:val="ListParagraph"/>
        <w:numPr>
          <w:ilvl w:val="0"/>
          <w:numId w:val="31"/>
        </w:numPr>
        <w:ind w:left="426" w:hanging="426"/>
        <w:rPr>
          <w:rFonts w:cs="Arial"/>
        </w:rPr>
      </w:pPr>
      <w:r w:rsidRPr="000B1C91">
        <w:rPr>
          <w:rFonts w:cs="Arial"/>
        </w:rPr>
        <w:t xml:space="preserve">Physical Disability services continue to see increases in the demand for </w:t>
      </w:r>
      <w:r w:rsidR="00B57979">
        <w:rPr>
          <w:rFonts w:cs="Arial"/>
        </w:rPr>
        <w:t>d</w:t>
      </w:r>
      <w:r w:rsidRPr="000B1C91">
        <w:rPr>
          <w:rFonts w:cs="Arial"/>
        </w:rPr>
        <w:t xml:space="preserve">irect </w:t>
      </w:r>
      <w:r w:rsidR="00B57979">
        <w:rPr>
          <w:rFonts w:cs="Arial"/>
        </w:rPr>
        <w:t>p</w:t>
      </w:r>
      <w:r w:rsidRPr="000B1C91">
        <w:rPr>
          <w:rFonts w:cs="Arial"/>
        </w:rPr>
        <w:t>ayment</w:t>
      </w:r>
      <w:r w:rsidR="00B57979">
        <w:rPr>
          <w:rFonts w:cs="Arial"/>
        </w:rPr>
        <w:t>s</w:t>
      </w:r>
      <w:r w:rsidRPr="000B1C91">
        <w:rPr>
          <w:rFonts w:cs="Arial"/>
        </w:rPr>
        <w:t xml:space="preserve">, where service users receive a cash payment from the </w:t>
      </w:r>
      <w:r w:rsidR="005C4C7C">
        <w:rPr>
          <w:rFonts w:cs="Arial"/>
        </w:rPr>
        <w:t xml:space="preserve">County </w:t>
      </w:r>
      <w:r w:rsidRPr="000B1C91">
        <w:rPr>
          <w:rFonts w:cs="Arial"/>
        </w:rPr>
        <w:t xml:space="preserve">Council for individuals to arrange their own care in place of the </w:t>
      </w:r>
      <w:r w:rsidR="005C4C7C">
        <w:rPr>
          <w:rFonts w:cs="Arial"/>
        </w:rPr>
        <w:t xml:space="preserve">County </w:t>
      </w:r>
      <w:r w:rsidRPr="000B1C91">
        <w:rPr>
          <w:rFonts w:cs="Arial"/>
        </w:rPr>
        <w:t>Council commissioning services on their behalf.</w:t>
      </w:r>
      <w:r w:rsidRPr="00BB23DE">
        <w:rPr>
          <w:rFonts w:cs="Arial"/>
        </w:rPr>
        <w:t xml:space="preserve"> The average annual growth in </w:t>
      </w:r>
      <w:r w:rsidR="00C924A3">
        <w:rPr>
          <w:rFonts w:cs="Arial"/>
        </w:rPr>
        <w:t>Direct Payments for those with physical d</w:t>
      </w:r>
      <w:r w:rsidRPr="00BB23DE">
        <w:rPr>
          <w:rFonts w:cs="Arial"/>
        </w:rPr>
        <w:t>isabilities over the last 3 years has been 5.5%. As such, an annual increase of this amount has been included in the forecast.</w:t>
      </w:r>
    </w:p>
    <w:p w:rsidR="00C924A3" w:rsidRPr="00BB23DE" w:rsidRDefault="00C924A3" w:rsidP="00C924A3">
      <w:pPr>
        <w:pStyle w:val="ListParagraph"/>
        <w:rPr>
          <w:rFonts w:cs="Arial"/>
        </w:rPr>
      </w:pPr>
    </w:p>
    <w:p w:rsidR="000B1C91" w:rsidRDefault="000B1C91" w:rsidP="003135E1">
      <w:pPr>
        <w:pStyle w:val="ListParagraph"/>
        <w:numPr>
          <w:ilvl w:val="0"/>
          <w:numId w:val="31"/>
        </w:numPr>
        <w:ind w:left="426" w:hanging="426"/>
        <w:rPr>
          <w:rFonts w:cs="Arial"/>
        </w:rPr>
      </w:pPr>
      <w:r w:rsidRPr="00B72D38">
        <w:rPr>
          <w:rFonts w:cs="Arial"/>
        </w:rPr>
        <w:t xml:space="preserve">Learning Disability services has traditionally seen growth in service user numbers of around 3% per annum. The last reliable year of activity information shows a 3.7% increase in </w:t>
      </w:r>
      <w:r w:rsidR="00B57979">
        <w:rPr>
          <w:rFonts w:cs="Arial"/>
        </w:rPr>
        <w:t xml:space="preserve">the number of people with community based support which </w:t>
      </w:r>
      <w:r w:rsidRPr="00B72D38">
        <w:rPr>
          <w:rFonts w:cs="Arial"/>
        </w:rPr>
        <w:t>make</w:t>
      </w:r>
      <w:r w:rsidR="00B57979">
        <w:rPr>
          <w:rFonts w:cs="Arial"/>
        </w:rPr>
        <w:t>s</w:t>
      </w:r>
      <w:r w:rsidRPr="00B72D38">
        <w:rPr>
          <w:rFonts w:cs="Arial"/>
        </w:rPr>
        <w:t xml:space="preserve"> up the majority of </w:t>
      </w:r>
      <w:r w:rsidR="00B57979">
        <w:rPr>
          <w:rFonts w:cs="Arial"/>
        </w:rPr>
        <w:t xml:space="preserve">current expenditure </w:t>
      </w:r>
      <w:r w:rsidRPr="00B72D38">
        <w:rPr>
          <w:rFonts w:cs="Arial"/>
        </w:rPr>
        <w:t xml:space="preserve">for those </w:t>
      </w:r>
      <w:r w:rsidR="00C924A3">
        <w:rPr>
          <w:rFonts w:cs="Arial"/>
        </w:rPr>
        <w:t>with learning d</w:t>
      </w:r>
      <w:r w:rsidRPr="00B72D38">
        <w:rPr>
          <w:rFonts w:cs="Arial"/>
        </w:rPr>
        <w:t xml:space="preserve">isabilities. As such </w:t>
      </w:r>
      <w:r w:rsidRPr="004961BB">
        <w:rPr>
          <w:rFonts w:cs="Arial"/>
        </w:rPr>
        <w:t xml:space="preserve">a 3.7% increase per annum has been included in the </w:t>
      </w:r>
      <w:r w:rsidR="00843752">
        <w:rPr>
          <w:rFonts w:cs="Arial"/>
        </w:rPr>
        <w:t>MTFS.</w:t>
      </w:r>
    </w:p>
    <w:p w:rsidR="00B57979" w:rsidRPr="00B57979" w:rsidRDefault="00B57979" w:rsidP="00253113">
      <w:pPr>
        <w:pStyle w:val="ListParagraph"/>
        <w:rPr>
          <w:rFonts w:cs="Arial"/>
        </w:rPr>
      </w:pPr>
    </w:p>
    <w:p w:rsidR="00253113" w:rsidRDefault="00B57979" w:rsidP="00253113">
      <w:pPr>
        <w:pStyle w:val="ListParagraph"/>
        <w:numPr>
          <w:ilvl w:val="0"/>
          <w:numId w:val="31"/>
        </w:numPr>
        <w:ind w:left="426" w:hanging="426"/>
        <w:rPr>
          <w:rFonts w:cs="Arial"/>
        </w:rPr>
      </w:pPr>
      <w:r>
        <w:rPr>
          <w:rFonts w:cs="Arial"/>
        </w:rPr>
        <w:t xml:space="preserve">For </w:t>
      </w:r>
      <w:r w:rsidR="000B1C91" w:rsidRPr="002E3569">
        <w:rPr>
          <w:rFonts w:cs="Arial"/>
        </w:rPr>
        <w:t xml:space="preserve">Mental Health </w:t>
      </w:r>
      <w:r>
        <w:rPr>
          <w:rFonts w:cs="Arial"/>
        </w:rPr>
        <w:t>services t</w:t>
      </w:r>
      <w:r w:rsidR="000B1C91" w:rsidRPr="002E3569">
        <w:rPr>
          <w:rFonts w:cs="Arial"/>
        </w:rPr>
        <w:t xml:space="preserve">he average annual increase in service user numbers in the last 3 to 5 years has been used across Residential, Nursing, Home Care and Direct Payment services to project </w:t>
      </w:r>
      <w:r>
        <w:rPr>
          <w:rFonts w:cs="Arial"/>
        </w:rPr>
        <w:t xml:space="preserve">increased </w:t>
      </w:r>
      <w:r w:rsidR="000B1C91" w:rsidRPr="002E3569">
        <w:rPr>
          <w:rFonts w:cs="Arial"/>
        </w:rPr>
        <w:t xml:space="preserve">spending </w:t>
      </w:r>
      <w:r>
        <w:rPr>
          <w:rFonts w:cs="Arial"/>
        </w:rPr>
        <w:t>over the period</w:t>
      </w:r>
      <w:r w:rsidR="000B1C91" w:rsidRPr="002E3569">
        <w:rPr>
          <w:rFonts w:cs="Arial"/>
        </w:rPr>
        <w:t>.</w:t>
      </w:r>
    </w:p>
    <w:p w:rsidR="00253113" w:rsidRPr="00253113" w:rsidRDefault="00253113" w:rsidP="00253113">
      <w:pPr>
        <w:pStyle w:val="ListParagraph"/>
        <w:rPr>
          <w:rFonts w:cs="Arial"/>
        </w:rPr>
      </w:pPr>
    </w:p>
    <w:p w:rsidR="000B1C91" w:rsidRPr="00E049F3" w:rsidRDefault="000B1C91" w:rsidP="00253113">
      <w:pPr>
        <w:pStyle w:val="ListParagraph"/>
        <w:numPr>
          <w:ilvl w:val="0"/>
          <w:numId w:val="31"/>
        </w:numPr>
        <w:ind w:left="360"/>
        <w:rPr>
          <w:rFonts w:cs="Arial"/>
        </w:rPr>
      </w:pPr>
      <w:r w:rsidRPr="00B57979">
        <w:rPr>
          <w:rFonts w:cs="Arial"/>
        </w:rPr>
        <w:t xml:space="preserve">As the demand for services increase, </w:t>
      </w:r>
      <w:r w:rsidR="00AC0E9B">
        <w:rPr>
          <w:rFonts w:cs="Arial"/>
        </w:rPr>
        <w:t>so</w:t>
      </w:r>
      <w:r w:rsidR="00AC0E9B" w:rsidRPr="00B57979">
        <w:rPr>
          <w:rFonts w:cs="Arial"/>
        </w:rPr>
        <w:t xml:space="preserve"> </w:t>
      </w:r>
      <w:r w:rsidRPr="00B57979">
        <w:rPr>
          <w:rFonts w:cs="Arial"/>
        </w:rPr>
        <w:t>does the increase fo</w:t>
      </w:r>
      <w:r w:rsidRPr="00253113">
        <w:rPr>
          <w:rFonts w:cs="Arial"/>
        </w:rPr>
        <w:t xml:space="preserve">r formal social care assessment to identify whether an individual has eligible care needs which would entitle an individual to financial support from the </w:t>
      </w:r>
      <w:r w:rsidR="005C4C7C">
        <w:rPr>
          <w:rFonts w:cs="Arial"/>
        </w:rPr>
        <w:t xml:space="preserve">County </w:t>
      </w:r>
      <w:r w:rsidRPr="00253113">
        <w:rPr>
          <w:rFonts w:cs="Arial"/>
        </w:rPr>
        <w:t>Council to meet their care needs.</w:t>
      </w:r>
      <w:r w:rsidR="00B57979" w:rsidRPr="00253113">
        <w:rPr>
          <w:rFonts w:cs="Arial"/>
        </w:rPr>
        <w:t xml:space="preserve"> </w:t>
      </w:r>
      <w:r w:rsidR="00E049F3">
        <w:rPr>
          <w:rFonts w:cs="Arial"/>
        </w:rPr>
        <w:t>P</w:t>
      </w:r>
      <w:r w:rsidRPr="00B57979">
        <w:rPr>
          <w:rFonts w:cs="Arial"/>
        </w:rPr>
        <w:t>opulation increases in the over 85 population has been used to project forward spending growth in relation to assessment and care management staff.</w:t>
      </w:r>
    </w:p>
    <w:p w:rsidR="00A95E6D" w:rsidRDefault="00A95E6D" w:rsidP="000B1C91">
      <w:pPr>
        <w:tabs>
          <w:tab w:val="left" w:pos="567"/>
          <w:tab w:val="left" w:pos="1134"/>
        </w:tabs>
        <w:spacing w:after="0"/>
        <w:rPr>
          <w:rFonts w:cs="Arial"/>
          <w:b/>
        </w:rPr>
      </w:pPr>
    </w:p>
    <w:p w:rsidR="00A95E6D" w:rsidRDefault="000F14B4" w:rsidP="003D58F1">
      <w:pPr>
        <w:tabs>
          <w:tab w:val="left" w:pos="567"/>
          <w:tab w:val="left" w:pos="1134"/>
        </w:tabs>
        <w:spacing w:after="0"/>
        <w:rPr>
          <w:rFonts w:cs="Arial"/>
          <w:b/>
        </w:rPr>
      </w:pPr>
      <w:r>
        <w:rPr>
          <w:rFonts w:cs="Arial"/>
          <w:b/>
        </w:rPr>
        <w:t>4.5 Loss of specific grant</w:t>
      </w:r>
    </w:p>
    <w:p w:rsidR="000F14B4" w:rsidRDefault="000F14B4" w:rsidP="003D58F1">
      <w:pPr>
        <w:tabs>
          <w:tab w:val="left" w:pos="567"/>
          <w:tab w:val="left" w:pos="1134"/>
        </w:tabs>
        <w:spacing w:after="0"/>
        <w:rPr>
          <w:rFonts w:cs="Arial"/>
          <w:b/>
        </w:rPr>
      </w:pPr>
    </w:p>
    <w:p w:rsidR="000F14B4" w:rsidRPr="00121597" w:rsidRDefault="00B752F1" w:rsidP="003D58F1">
      <w:pPr>
        <w:tabs>
          <w:tab w:val="left" w:pos="567"/>
          <w:tab w:val="left" w:pos="1134"/>
        </w:tabs>
        <w:spacing w:after="0"/>
        <w:rPr>
          <w:rFonts w:cs="Arial"/>
        </w:rPr>
      </w:pPr>
      <w:r w:rsidRPr="00121597">
        <w:rPr>
          <w:rFonts w:cs="Arial"/>
        </w:rPr>
        <w:t xml:space="preserve">The </w:t>
      </w:r>
      <w:r w:rsidR="005C4C7C">
        <w:rPr>
          <w:rFonts w:cs="Arial"/>
        </w:rPr>
        <w:t xml:space="preserve">County </w:t>
      </w:r>
      <w:r w:rsidRPr="00121597">
        <w:rPr>
          <w:rFonts w:cs="Arial"/>
        </w:rPr>
        <w:t xml:space="preserve">Council receives various grants which are specific and form part of the net expenditure pressures rather than the </w:t>
      </w:r>
      <w:r w:rsidR="00925B14">
        <w:rPr>
          <w:rFonts w:cs="Arial"/>
        </w:rPr>
        <w:t xml:space="preserve">general </w:t>
      </w:r>
      <w:r w:rsidRPr="00121597">
        <w:rPr>
          <w:rFonts w:cs="Arial"/>
        </w:rPr>
        <w:t>resources of the authority</w:t>
      </w:r>
      <w:r w:rsidR="00925B14">
        <w:rPr>
          <w:rFonts w:cs="Arial"/>
        </w:rPr>
        <w:t xml:space="preserve"> referred to in section 3 above</w:t>
      </w:r>
      <w:r w:rsidRPr="00121597">
        <w:rPr>
          <w:rFonts w:cs="Arial"/>
        </w:rPr>
        <w:t xml:space="preserve">. The </w:t>
      </w:r>
      <w:r w:rsidR="005C4C7C">
        <w:rPr>
          <w:rFonts w:cs="Arial"/>
        </w:rPr>
        <w:t xml:space="preserve">County </w:t>
      </w:r>
      <w:r w:rsidRPr="00121597">
        <w:rPr>
          <w:rFonts w:cs="Arial"/>
        </w:rPr>
        <w:t>Council was subject to an in-year reduction to the Public Health Grant of circa £4</w:t>
      </w:r>
      <w:r w:rsidR="003F3017">
        <w:rPr>
          <w:rFonts w:cs="Arial"/>
        </w:rPr>
        <w:t>.3</w:t>
      </w:r>
      <w:r w:rsidRPr="00121597">
        <w:rPr>
          <w:rFonts w:cs="Arial"/>
        </w:rPr>
        <w:t>m in 2015/16. Although it has not yet been confirmed if this will be repeated in future years it is anticipated that it will be a continuing reduction. Therefore the MTFS includes</w:t>
      </w:r>
      <w:r w:rsidR="005826BB">
        <w:rPr>
          <w:rFonts w:cs="Arial"/>
        </w:rPr>
        <w:t xml:space="preserve"> a</w:t>
      </w:r>
      <w:r w:rsidR="00726DF8">
        <w:rPr>
          <w:rFonts w:cs="Arial"/>
        </w:rPr>
        <w:t xml:space="preserve"> </w:t>
      </w:r>
      <w:r w:rsidR="005826BB">
        <w:rPr>
          <w:rFonts w:cs="Arial"/>
        </w:rPr>
        <w:t xml:space="preserve">provision for the potential ongoing loss of grant. </w:t>
      </w:r>
    </w:p>
    <w:p w:rsidR="00D21FDD" w:rsidRDefault="00D21FDD">
      <w:pPr>
        <w:autoSpaceDE/>
        <w:autoSpaceDN/>
        <w:adjustRightInd/>
        <w:spacing w:after="0"/>
        <w:jc w:val="left"/>
        <w:rPr>
          <w:rFonts w:cs="Arial"/>
          <w:b/>
        </w:rPr>
      </w:pPr>
    </w:p>
    <w:p w:rsidR="00885F34" w:rsidRDefault="000112C8" w:rsidP="00300C68">
      <w:pPr>
        <w:tabs>
          <w:tab w:val="left" w:pos="567"/>
          <w:tab w:val="left" w:pos="1134"/>
        </w:tabs>
        <w:spacing w:after="0"/>
        <w:rPr>
          <w:rFonts w:cs="Arial"/>
          <w:b/>
        </w:rPr>
      </w:pPr>
      <w:r>
        <w:rPr>
          <w:rFonts w:cs="Arial"/>
          <w:b/>
        </w:rPr>
        <w:t>4.</w:t>
      </w:r>
      <w:r w:rsidR="000F14B4">
        <w:rPr>
          <w:rFonts w:cs="Arial"/>
          <w:b/>
        </w:rPr>
        <w:t>6</w:t>
      </w:r>
      <w:r w:rsidR="009D6A96" w:rsidRPr="009D6A96">
        <w:rPr>
          <w:rFonts w:cs="Arial"/>
          <w:b/>
        </w:rPr>
        <w:tab/>
      </w:r>
      <w:r w:rsidR="00C15316" w:rsidRPr="009D6A96">
        <w:rPr>
          <w:rFonts w:cs="Arial"/>
          <w:b/>
        </w:rPr>
        <w:t>Savings that will not be delivered</w:t>
      </w:r>
    </w:p>
    <w:p w:rsidR="00885F34" w:rsidRDefault="00885F34" w:rsidP="00300C68">
      <w:pPr>
        <w:tabs>
          <w:tab w:val="left" w:pos="567"/>
          <w:tab w:val="left" w:pos="1134"/>
        </w:tabs>
        <w:spacing w:after="0"/>
        <w:rPr>
          <w:rFonts w:cs="Arial"/>
          <w:b/>
        </w:rPr>
      </w:pPr>
    </w:p>
    <w:p w:rsidR="0072192C" w:rsidRDefault="00261225" w:rsidP="00300C68">
      <w:pPr>
        <w:tabs>
          <w:tab w:val="left" w:pos="567"/>
          <w:tab w:val="left" w:pos="1134"/>
        </w:tabs>
        <w:spacing w:after="0"/>
        <w:rPr>
          <w:rFonts w:cs="Arial"/>
        </w:rPr>
      </w:pPr>
      <w:r w:rsidRPr="00433AA1">
        <w:rPr>
          <w:rFonts w:cs="Arial"/>
        </w:rPr>
        <w:t>The savings to be achieved are constantly under review</w:t>
      </w:r>
      <w:r w:rsidR="00880E51">
        <w:rPr>
          <w:rFonts w:cs="Arial"/>
        </w:rPr>
        <w:t xml:space="preserve">. </w:t>
      </w:r>
      <w:r w:rsidR="00130AB3">
        <w:rPr>
          <w:rFonts w:cs="Arial"/>
        </w:rPr>
        <w:t xml:space="preserve">The previous report identified that </w:t>
      </w:r>
      <w:r w:rsidR="00130AB3" w:rsidRPr="00530305">
        <w:rPr>
          <w:rFonts w:cs="Arial"/>
        </w:rPr>
        <w:t>£</w:t>
      </w:r>
      <w:r w:rsidR="007D3783">
        <w:rPr>
          <w:rFonts w:cs="Arial"/>
        </w:rPr>
        <w:t>46.2</w:t>
      </w:r>
      <w:r w:rsidR="00130AB3" w:rsidRPr="00530305">
        <w:rPr>
          <w:rFonts w:cs="Arial"/>
        </w:rPr>
        <w:t>m</w:t>
      </w:r>
      <w:r w:rsidR="00130AB3">
        <w:rPr>
          <w:rFonts w:cs="Arial"/>
        </w:rPr>
        <w:t xml:space="preserve"> of agreed savings covering adult social care had been assessed as not now being deliverable and the risk assessment of savings has been updated with additional impact as set out below:  </w:t>
      </w:r>
    </w:p>
    <w:tbl>
      <w:tblPr>
        <w:tblStyle w:val="TableGrid"/>
        <w:tblW w:w="0" w:type="auto"/>
        <w:tblLook w:val="04A0" w:firstRow="1" w:lastRow="0" w:firstColumn="1" w:lastColumn="0" w:noHBand="0" w:noVBand="1"/>
      </w:tblPr>
      <w:tblGrid>
        <w:gridCol w:w="4508"/>
        <w:gridCol w:w="1441"/>
      </w:tblGrid>
      <w:tr w:rsidR="0008047C" w:rsidTr="00547A3D">
        <w:tc>
          <w:tcPr>
            <w:tcW w:w="4508" w:type="dxa"/>
          </w:tcPr>
          <w:p w:rsidR="0008047C" w:rsidRPr="00547A3D" w:rsidRDefault="00547A3D" w:rsidP="00300C68">
            <w:pPr>
              <w:tabs>
                <w:tab w:val="left" w:pos="567"/>
                <w:tab w:val="left" w:pos="1134"/>
              </w:tabs>
              <w:spacing w:after="0"/>
              <w:rPr>
                <w:rFonts w:cs="Arial"/>
                <w:b/>
              </w:rPr>
            </w:pPr>
            <w:r w:rsidRPr="00547A3D">
              <w:rPr>
                <w:rFonts w:cs="Arial"/>
                <w:b/>
              </w:rPr>
              <w:t>Savings Description</w:t>
            </w:r>
          </w:p>
        </w:tc>
        <w:tc>
          <w:tcPr>
            <w:tcW w:w="1441" w:type="dxa"/>
          </w:tcPr>
          <w:p w:rsidR="0008047C" w:rsidRPr="003F3017" w:rsidRDefault="0008047C" w:rsidP="00547A3D">
            <w:pPr>
              <w:tabs>
                <w:tab w:val="left" w:pos="567"/>
                <w:tab w:val="left" w:pos="1134"/>
              </w:tabs>
              <w:spacing w:after="0"/>
              <w:jc w:val="center"/>
              <w:rPr>
                <w:rFonts w:cs="Arial"/>
                <w:b/>
              </w:rPr>
            </w:pPr>
            <w:r w:rsidRPr="003F3017">
              <w:rPr>
                <w:rFonts w:cs="Arial"/>
                <w:b/>
              </w:rPr>
              <w:t>£m</w:t>
            </w:r>
          </w:p>
        </w:tc>
      </w:tr>
      <w:tr w:rsidR="0008047C" w:rsidTr="00547A3D">
        <w:tc>
          <w:tcPr>
            <w:tcW w:w="4508" w:type="dxa"/>
          </w:tcPr>
          <w:p w:rsidR="0008047C" w:rsidRDefault="0008047C" w:rsidP="00300C68">
            <w:pPr>
              <w:tabs>
                <w:tab w:val="left" w:pos="567"/>
                <w:tab w:val="left" w:pos="1134"/>
              </w:tabs>
              <w:spacing w:after="0"/>
              <w:rPr>
                <w:rFonts w:cs="Arial"/>
              </w:rPr>
            </w:pPr>
            <w:r>
              <w:rPr>
                <w:rFonts w:cs="Arial"/>
              </w:rPr>
              <w:t>Savings on Adult Social Care</w:t>
            </w:r>
          </w:p>
        </w:tc>
        <w:tc>
          <w:tcPr>
            <w:tcW w:w="1441" w:type="dxa"/>
          </w:tcPr>
          <w:p w:rsidR="0008047C" w:rsidRDefault="0008047C" w:rsidP="00547A3D">
            <w:pPr>
              <w:tabs>
                <w:tab w:val="left" w:pos="567"/>
                <w:tab w:val="left" w:pos="1134"/>
              </w:tabs>
              <w:spacing w:after="0"/>
              <w:jc w:val="center"/>
              <w:rPr>
                <w:rFonts w:cs="Arial"/>
              </w:rPr>
            </w:pPr>
            <w:r>
              <w:rPr>
                <w:rFonts w:cs="Arial"/>
              </w:rPr>
              <w:t>5.4</w:t>
            </w:r>
          </w:p>
        </w:tc>
      </w:tr>
      <w:tr w:rsidR="0008047C" w:rsidTr="00547A3D">
        <w:tc>
          <w:tcPr>
            <w:tcW w:w="4508" w:type="dxa"/>
          </w:tcPr>
          <w:p w:rsidR="0008047C" w:rsidRDefault="0008047C" w:rsidP="00300C68">
            <w:pPr>
              <w:tabs>
                <w:tab w:val="left" w:pos="567"/>
                <w:tab w:val="left" w:pos="1134"/>
              </w:tabs>
              <w:spacing w:after="0"/>
              <w:rPr>
                <w:rFonts w:cs="Arial"/>
              </w:rPr>
            </w:pPr>
            <w:r>
              <w:rPr>
                <w:rFonts w:cs="Arial"/>
              </w:rPr>
              <w:t>Review of skills provision</w:t>
            </w:r>
          </w:p>
        </w:tc>
        <w:tc>
          <w:tcPr>
            <w:tcW w:w="1441" w:type="dxa"/>
          </w:tcPr>
          <w:p w:rsidR="0008047C" w:rsidRDefault="0008047C" w:rsidP="00547A3D">
            <w:pPr>
              <w:tabs>
                <w:tab w:val="left" w:pos="567"/>
                <w:tab w:val="left" w:pos="1134"/>
              </w:tabs>
              <w:spacing w:after="0"/>
              <w:jc w:val="center"/>
              <w:rPr>
                <w:rFonts w:cs="Arial"/>
              </w:rPr>
            </w:pPr>
            <w:r>
              <w:rPr>
                <w:rFonts w:cs="Arial"/>
              </w:rPr>
              <w:t>1.0</w:t>
            </w:r>
          </w:p>
        </w:tc>
      </w:tr>
      <w:tr w:rsidR="0008047C" w:rsidTr="00547A3D">
        <w:tc>
          <w:tcPr>
            <w:tcW w:w="4508" w:type="dxa"/>
          </w:tcPr>
          <w:p w:rsidR="0008047C" w:rsidRDefault="0008047C" w:rsidP="00300C68">
            <w:pPr>
              <w:tabs>
                <w:tab w:val="left" w:pos="567"/>
                <w:tab w:val="left" w:pos="1134"/>
              </w:tabs>
              <w:spacing w:after="0"/>
              <w:rPr>
                <w:rFonts w:cs="Arial"/>
              </w:rPr>
            </w:pPr>
            <w:r>
              <w:rPr>
                <w:rFonts w:cs="Arial"/>
              </w:rPr>
              <w:t>Review of business intelligence</w:t>
            </w:r>
          </w:p>
        </w:tc>
        <w:tc>
          <w:tcPr>
            <w:tcW w:w="1441" w:type="dxa"/>
          </w:tcPr>
          <w:p w:rsidR="0008047C" w:rsidRDefault="0008047C" w:rsidP="00547A3D">
            <w:pPr>
              <w:tabs>
                <w:tab w:val="left" w:pos="567"/>
                <w:tab w:val="left" w:pos="1134"/>
              </w:tabs>
              <w:spacing w:after="0"/>
              <w:jc w:val="center"/>
              <w:rPr>
                <w:rFonts w:cs="Arial"/>
              </w:rPr>
            </w:pPr>
            <w:r>
              <w:rPr>
                <w:rFonts w:cs="Arial"/>
              </w:rPr>
              <w:t>0.2</w:t>
            </w:r>
          </w:p>
        </w:tc>
      </w:tr>
      <w:tr w:rsidR="0008047C" w:rsidTr="00547A3D">
        <w:tc>
          <w:tcPr>
            <w:tcW w:w="4508" w:type="dxa"/>
          </w:tcPr>
          <w:p w:rsidR="0008047C" w:rsidRPr="0008047C" w:rsidRDefault="0008047C" w:rsidP="00300C68">
            <w:pPr>
              <w:tabs>
                <w:tab w:val="left" w:pos="567"/>
                <w:tab w:val="left" w:pos="1134"/>
              </w:tabs>
              <w:spacing w:after="0"/>
              <w:rPr>
                <w:rFonts w:cs="Arial"/>
                <w:b/>
              </w:rPr>
            </w:pPr>
            <w:r w:rsidRPr="0008047C">
              <w:rPr>
                <w:rFonts w:cs="Arial"/>
                <w:b/>
              </w:rPr>
              <w:t>TOTAL</w:t>
            </w:r>
          </w:p>
        </w:tc>
        <w:tc>
          <w:tcPr>
            <w:tcW w:w="1441" w:type="dxa"/>
          </w:tcPr>
          <w:p w:rsidR="0008047C" w:rsidRPr="0008047C" w:rsidRDefault="0008047C" w:rsidP="00547A3D">
            <w:pPr>
              <w:tabs>
                <w:tab w:val="left" w:pos="567"/>
                <w:tab w:val="left" w:pos="1134"/>
              </w:tabs>
              <w:spacing w:after="0"/>
              <w:jc w:val="center"/>
              <w:rPr>
                <w:rFonts w:cs="Arial"/>
                <w:b/>
              </w:rPr>
            </w:pPr>
            <w:r w:rsidRPr="0008047C">
              <w:rPr>
                <w:rFonts w:cs="Arial"/>
                <w:b/>
              </w:rPr>
              <w:t>6.6</w:t>
            </w:r>
          </w:p>
        </w:tc>
      </w:tr>
    </w:tbl>
    <w:p w:rsidR="00302718" w:rsidRDefault="00302718" w:rsidP="00300C68">
      <w:pPr>
        <w:tabs>
          <w:tab w:val="left" w:pos="567"/>
          <w:tab w:val="left" w:pos="1134"/>
        </w:tabs>
        <w:spacing w:after="0"/>
        <w:rPr>
          <w:rFonts w:cs="Arial"/>
        </w:rPr>
      </w:pPr>
    </w:p>
    <w:p w:rsidR="00302718" w:rsidRDefault="00302718" w:rsidP="00300C68">
      <w:pPr>
        <w:tabs>
          <w:tab w:val="left" w:pos="567"/>
          <w:tab w:val="left" w:pos="1134"/>
        </w:tabs>
        <w:spacing w:after="0"/>
        <w:rPr>
          <w:rFonts w:cs="Arial"/>
        </w:rPr>
      </w:pPr>
    </w:p>
    <w:p w:rsidR="00387042" w:rsidRDefault="00910863" w:rsidP="003D58F1">
      <w:pPr>
        <w:tabs>
          <w:tab w:val="left" w:pos="567"/>
          <w:tab w:val="left" w:pos="1134"/>
        </w:tabs>
        <w:spacing w:after="0"/>
        <w:rPr>
          <w:rFonts w:cs="Arial"/>
          <w:b/>
        </w:rPr>
      </w:pPr>
      <w:r>
        <w:rPr>
          <w:rFonts w:cs="Arial"/>
          <w:b/>
        </w:rPr>
        <w:t>5</w:t>
      </w:r>
      <w:r w:rsidR="00EB3E0F" w:rsidRPr="00EB3E0F">
        <w:rPr>
          <w:rFonts w:cs="Arial"/>
          <w:b/>
        </w:rPr>
        <w:t>.</w:t>
      </w:r>
      <w:r w:rsidR="00EB3E0F" w:rsidRPr="00EB3E0F">
        <w:rPr>
          <w:rFonts w:cs="Arial"/>
          <w:b/>
        </w:rPr>
        <w:tab/>
        <w:t>Future Risks</w:t>
      </w:r>
    </w:p>
    <w:p w:rsidR="003D3C68" w:rsidRDefault="003D3C68" w:rsidP="003D58F1">
      <w:pPr>
        <w:tabs>
          <w:tab w:val="left" w:pos="567"/>
          <w:tab w:val="left" w:pos="1134"/>
        </w:tabs>
        <w:spacing w:after="0"/>
        <w:rPr>
          <w:rFonts w:cs="Arial"/>
          <w:b/>
        </w:rPr>
      </w:pPr>
    </w:p>
    <w:p w:rsidR="003D3C68" w:rsidRPr="003D3C68" w:rsidRDefault="003D3C68" w:rsidP="003D58F1">
      <w:pPr>
        <w:tabs>
          <w:tab w:val="left" w:pos="567"/>
          <w:tab w:val="left" w:pos="1134"/>
        </w:tabs>
        <w:spacing w:after="0"/>
        <w:rPr>
          <w:rFonts w:cs="Arial"/>
        </w:rPr>
      </w:pPr>
      <w:r>
        <w:rPr>
          <w:rFonts w:cs="Arial"/>
        </w:rPr>
        <w:t>The following are key future r</w:t>
      </w:r>
      <w:r w:rsidR="00130AB3">
        <w:rPr>
          <w:rFonts w:cs="Arial"/>
        </w:rPr>
        <w:t xml:space="preserve">isks, the full impact of which is not </w:t>
      </w:r>
      <w:r>
        <w:rPr>
          <w:rFonts w:cs="Arial"/>
        </w:rPr>
        <w:t>known at this stage:</w:t>
      </w:r>
    </w:p>
    <w:p w:rsidR="00A7307E" w:rsidRDefault="00A7307E" w:rsidP="003D3C68">
      <w:pPr>
        <w:autoSpaceDE/>
        <w:autoSpaceDN/>
        <w:adjustRightInd/>
        <w:spacing w:after="0"/>
        <w:rPr>
          <w:rFonts w:cs="Arial"/>
          <w:color w:val="auto"/>
        </w:rPr>
      </w:pPr>
    </w:p>
    <w:p w:rsidR="00CE6A7E" w:rsidRDefault="00910863" w:rsidP="003D3C68">
      <w:pPr>
        <w:autoSpaceDE/>
        <w:autoSpaceDN/>
        <w:adjustRightInd/>
        <w:spacing w:after="0"/>
        <w:rPr>
          <w:rFonts w:cs="Arial"/>
          <w:b/>
          <w:color w:val="auto"/>
        </w:rPr>
      </w:pPr>
      <w:r w:rsidRPr="00910863">
        <w:rPr>
          <w:rFonts w:cs="Arial"/>
          <w:b/>
          <w:color w:val="auto"/>
        </w:rPr>
        <w:t>5.</w:t>
      </w:r>
      <w:r w:rsidR="00B34BEF">
        <w:rPr>
          <w:rFonts w:cs="Arial"/>
          <w:b/>
          <w:color w:val="auto"/>
        </w:rPr>
        <w:t>1</w:t>
      </w:r>
      <w:r w:rsidRPr="00910863">
        <w:rPr>
          <w:rFonts w:cs="Arial"/>
          <w:b/>
          <w:color w:val="auto"/>
        </w:rPr>
        <w:tab/>
      </w:r>
      <w:r w:rsidR="00CE6A7E" w:rsidRPr="00910863">
        <w:rPr>
          <w:rFonts w:cs="Arial"/>
          <w:b/>
          <w:color w:val="auto"/>
        </w:rPr>
        <w:t>Better Care Fund</w:t>
      </w:r>
      <w:r w:rsidR="00D63524">
        <w:rPr>
          <w:rFonts w:cs="Arial"/>
          <w:b/>
          <w:color w:val="auto"/>
        </w:rPr>
        <w:t xml:space="preserve"> </w:t>
      </w:r>
    </w:p>
    <w:p w:rsidR="003D3C68" w:rsidRPr="00910863" w:rsidRDefault="003D3C68" w:rsidP="003D3C68">
      <w:pPr>
        <w:autoSpaceDE/>
        <w:autoSpaceDN/>
        <w:adjustRightInd/>
        <w:spacing w:after="0"/>
        <w:rPr>
          <w:rFonts w:cs="Arial"/>
          <w:b/>
          <w:color w:val="auto"/>
        </w:rPr>
      </w:pPr>
    </w:p>
    <w:p w:rsidR="00CE6A7E" w:rsidRDefault="00CE6A7E" w:rsidP="003D3C68">
      <w:pPr>
        <w:autoSpaceDE/>
        <w:autoSpaceDN/>
        <w:adjustRightInd/>
        <w:spacing w:after="0"/>
        <w:rPr>
          <w:rFonts w:cs="Arial"/>
          <w:color w:val="auto"/>
        </w:rPr>
      </w:pPr>
      <w:r w:rsidRPr="00CE6A7E">
        <w:rPr>
          <w:rFonts w:cs="Arial"/>
          <w:color w:val="auto"/>
        </w:rPr>
        <w:t>The budget currently includes £20m of income from the Better Care Fund. This will only be received if it is annually re-agreed by the 6 Lancashire CCGs.</w:t>
      </w:r>
      <w:r w:rsidR="001970A0">
        <w:rPr>
          <w:rFonts w:cs="Arial"/>
          <w:color w:val="auto"/>
        </w:rPr>
        <w:t xml:space="preserve"> It is currently assumed that this will continue in the MTFS.</w:t>
      </w:r>
    </w:p>
    <w:p w:rsidR="00814750" w:rsidRDefault="00814750" w:rsidP="003D58F1">
      <w:pPr>
        <w:tabs>
          <w:tab w:val="left" w:pos="567"/>
          <w:tab w:val="left" w:pos="1134"/>
        </w:tabs>
        <w:spacing w:after="0"/>
        <w:rPr>
          <w:rFonts w:cs="Arial"/>
        </w:rPr>
      </w:pPr>
    </w:p>
    <w:p w:rsidR="00B72D38" w:rsidRPr="000112C8" w:rsidRDefault="00B72D38" w:rsidP="00B72D38">
      <w:pPr>
        <w:rPr>
          <w:rFonts w:cs="Arial"/>
        </w:rPr>
      </w:pPr>
      <w:r w:rsidRPr="000112C8">
        <w:rPr>
          <w:rFonts w:cs="Arial"/>
          <w:b/>
        </w:rPr>
        <w:t>5.</w:t>
      </w:r>
      <w:r w:rsidR="00B34BEF">
        <w:rPr>
          <w:rFonts w:cs="Arial"/>
          <w:b/>
        </w:rPr>
        <w:t>2</w:t>
      </w:r>
      <w:r w:rsidRPr="000112C8">
        <w:rPr>
          <w:rFonts w:cs="Arial"/>
          <w:b/>
        </w:rPr>
        <w:t xml:space="preserve"> Deprivation of Liberty Safeguards</w:t>
      </w:r>
    </w:p>
    <w:p w:rsidR="00B72D38" w:rsidRPr="00D955FA" w:rsidRDefault="00B72D38" w:rsidP="00B72D38">
      <w:pPr>
        <w:pStyle w:val="ListParagraph"/>
        <w:ind w:left="0"/>
        <w:rPr>
          <w:rFonts w:cs="Arial"/>
        </w:rPr>
      </w:pPr>
      <w:r w:rsidRPr="00D955FA">
        <w:rPr>
          <w:rFonts w:cs="Arial"/>
        </w:rPr>
        <w:t>The Depriva</w:t>
      </w:r>
      <w:r w:rsidR="00C924A3">
        <w:rPr>
          <w:rFonts w:cs="Arial"/>
        </w:rPr>
        <w:t>tion of Liberty Safeguards (DoLS</w:t>
      </w:r>
      <w:r w:rsidRPr="00D955FA">
        <w:rPr>
          <w:rFonts w:cs="Arial"/>
        </w:rPr>
        <w:t>) was implemented on 1 April 2009. It provides a legal framework for preventing the unlawful detention of anyone over the age of 18, in a care home or hospital, who lacks the capacity to consent to their care arrangements and residence</w:t>
      </w:r>
      <w:r w:rsidR="00DF300F">
        <w:rPr>
          <w:rFonts w:cs="Arial"/>
        </w:rPr>
        <w:t>.</w:t>
      </w:r>
    </w:p>
    <w:p w:rsidR="00B72D38" w:rsidRDefault="00B72D38" w:rsidP="00B72D38">
      <w:pPr>
        <w:pStyle w:val="ListParagraph"/>
        <w:ind w:left="0"/>
        <w:rPr>
          <w:rFonts w:cs="Arial"/>
        </w:rPr>
      </w:pPr>
    </w:p>
    <w:p w:rsidR="0037783F" w:rsidRDefault="00B72D38" w:rsidP="001C5326">
      <w:pPr>
        <w:pStyle w:val="ListParagraph"/>
        <w:ind w:left="0"/>
        <w:rPr>
          <w:rFonts w:cs="Arial"/>
        </w:rPr>
      </w:pPr>
      <w:r w:rsidRPr="00D955FA">
        <w:rPr>
          <w:rFonts w:cs="Arial"/>
        </w:rPr>
        <w:t>Since March 2013 Lancashire County Council has the responsibility for as</w:t>
      </w:r>
      <w:r w:rsidR="00C924A3">
        <w:rPr>
          <w:rFonts w:cs="Arial"/>
        </w:rPr>
        <w:t>sessment of people who meet DoLS</w:t>
      </w:r>
      <w:r w:rsidRPr="00D955FA">
        <w:rPr>
          <w:rFonts w:cs="Arial"/>
        </w:rPr>
        <w:t xml:space="preserve"> criteria in hospitals as well as residential care homes</w:t>
      </w:r>
      <w:r w:rsidR="00A850B0">
        <w:rPr>
          <w:rFonts w:cs="Arial"/>
        </w:rPr>
        <w:t xml:space="preserve"> and due to a </w:t>
      </w:r>
      <w:r w:rsidR="00DF300F">
        <w:rPr>
          <w:rFonts w:cs="Arial"/>
        </w:rPr>
        <w:t>S</w:t>
      </w:r>
      <w:r w:rsidR="00187489">
        <w:rPr>
          <w:rFonts w:cs="Arial"/>
        </w:rPr>
        <w:t>upreme</w:t>
      </w:r>
      <w:r w:rsidR="00DF300F">
        <w:rPr>
          <w:rFonts w:cs="Arial"/>
        </w:rPr>
        <w:t xml:space="preserve"> C</w:t>
      </w:r>
      <w:r w:rsidR="00A850B0">
        <w:rPr>
          <w:rFonts w:cs="Arial"/>
        </w:rPr>
        <w:t xml:space="preserve">ourt ruling </w:t>
      </w:r>
      <w:r w:rsidR="00187489">
        <w:rPr>
          <w:rFonts w:cs="Arial"/>
        </w:rPr>
        <w:t xml:space="preserve">many more </w:t>
      </w:r>
      <w:r w:rsidR="00A850B0">
        <w:rPr>
          <w:rFonts w:cs="Arial"/>
        </w:rPr>
        <w:t>people are covered by the regulations</w:t>
      </w:r>
      <w:r w:rsidR="00187489">
        <w:rPr>
          <w:rFonts w:cs="Arial"/>
        </w:rPr>
        <w:t xml:space="preserve">.  If the legal duty was rigidly applied </w:t>
      </w:r>
      <w:r w:rsidR="00130AB3">
        <w:rPr>
          <w:rFonts w:cs="Arial"/>
        </w:rPr>
        <w:t xml:space="preserve">revised estimates suggest that </w:t>
      </w:r>
      <w:r w:rsidR="00187489">
        <w:rPr>
          <w:rFonts w:cs="Arial"/>
        </w:rPr>
        <w:t>up to £5m</w:t>
      </w:r>
      <w:r w:rsidR="00130AB3">
        <w:rPr>
          <w:rFonts w:cs="Arial"/>
        </w:rPr>
        <w:t xml:space="preserve"> could be the </w:t>
      </w:r>
      <w:r w:rsidR="00187489">
        <w:rPr>
          <w:rFonts w:cs="Arial"/>
        </w:rPr>
        <w:t>recurrent cost of full compliance</w:t>
      </w:r>
      <w:r w:rsidRPr="00D955FA">
        <w:rPr>
          <w:rFonts w:cs="Arial"/>
        </w:rPr>
        <w:t>.</w:t>
      </w:r>
      <w:r w:rsidR="00187489">
        <w:rPr>
          <w:rFonts w:cs="Arial"/>
        </w:rPr>
        <w:t xml:space="preserve">  This has not been factored in to the MTFS.</w:t>
      </w:r>
    </w:p>
    <w:p w:rsidR="001C5326" w:rsidRDefault="001C5326" w:rsidP="001C5326">
      <w:pPr>
        <w:pStyle w:val="ListParagraph"/>
        <w:ind w:left="0"/>
        <w:rPr>
          <w:rFonts w:cs="Arial"/>
          <w:b/>
        </w:rPr>
      </w:pPr>
    </w:p>
    <w:p w:rsidR="00C924A3" w:rsidRDefault="00C924A3">
      <w:pPr>
        <w:autoSpaceDE/>
        <w:autoSpaceDN/>
        <w:adjustRightInd/>
        <w:spacing w:after="0"/>
        <w:jc w:val="left"/>
        <w:rPr>
          <w:rFonts w:cs="Arial"/>
          <w:color w:val="auto"/>
        </w:rPr>
      </w:pPr>
    </w:p>
    <w:sectPr w:rsidR="00C924A3" w:rsidSect="008B43A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7422" w:rsidRDefault="00707422" w:rsidP="00124FDC">
      <w:pPr>
        <w:spacing w:after="0"/>
      </w:pPr>
      <w:r>
        <w:separator/>
      </w:r>
    </w:p>
  </w:endnote>
  <w:endnote w:type="continuationSeparator" w:id="0">
    <w:p w:rsidR="00707422" w:rsidRDefault="00707422" w:rsidP="00124FD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0829511"/>
      <w:docPartObj>
        <w:docPartGallery w:val="Page Numbers (Bottom of Page)"/>
        <w:docPartUnique/>
      </w:docPartObj>
    </w:sdtPr>
    <w:sdtEndPr>
      <w:rPr>
        <w:noProof/>
      </w:rPr>
    </w:sdtEndPr>
    <w:sdtContent>
      <w:p w:rsidR="00707422" w:rsidRDefault="00707422">
        <w:pPr>
          <w:pStyle w:val="Footer"/>
        </w:pPr>
        <w:r>
          <w:fldChar w:fldCharType="begin"/>
        </w:r>
        <w:r>
          <w:instrText xml:space="preserve"> PAGE   \* MERGEFORMAT </w:instrText>
        </w:r>
        <w:r>
          <w:fldChar w:fldCharType="separate"/>
        </w:r>
        <w:r w:rsidR="004E3868">
          <w:rPr>
            <w:noProof/>
          </w:rPr>
          <w:t>2</w:t>
        </w:r>
        <w:r>
          <w:rPr>
            <w:noProof/>
          </w:rPr>
          <w:fldChar w:fldCharType="end"/>
        </w:r>
      </w:p>
    </w:sdtContent>
  </w:sdt>
  <w:p w:rsidR="00707422" w:rsidRDefault="0070742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7422" w:rsidRDefault="00707422" w:rsidP="00124FDC">
      <w:pPr>
        <w:spacing w:after="0"/>
      </w:pPr>
      <w:r>
        <w:separator/>
      </w:r>
    </w:p>
  </w:footnote>
  <w:footnote w:type="continuationSeparator" w:id="0">
    <w:p w:rsidR="00707422" w:rsidRDefault="00707422" w:rsidP="00124FDC">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089987"/>
      <w:docPartObj>
        <w:docPartGallery w:val="Page Numbers (Top of Page)"/>
        <w:docPartUnique/>
      </w:docPartObj>
    </w:sdtPr>
    <w:sdtEndPr>
      <w:rPr>
        <w:noProof/>
      </w:rPr>
    </w:sdtEndPr>
    <w:sdtContent>
      <w:p w:rsidR="00707422" w:rsidRDefault="00707422">
        <w:pPr>
          <w:pStyle w:val="Header"/>
        </w:pPr>
        <w:r>
          <w:fldChar w:fldCharType="begin"/>
        </w:r>
        <w:r>
          <w:instrText xml:space="preserve"> PAGE   \* MERGEFORMAT </w:instrText>
        </w:r>
        <w:r>
          <w:fldChar w:fldCharType="separate"/>
        </w:r>
        <w:r w:rsidR="004E3868">
          <w:rPr>
            <w:noProof/>
          </w:rPr>
          <w:t>2</w:t>
        </w:r>
        <w:r>
          <w:rPr>
            <w:noProof/>
          </w:rPr>
          <w:fldChar w:fldCharType="end"/>
        </w:r>
      </w:p>
    </w:sdtContent>
  </w:sdt>
  <w:p w:rsidR="00707422" w:rsidRDefault="007074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7422" w:rsidRDefault="00707422" w:rsidP="00846AEA">
    <w:pPr>
      <w:pStyle w:val="Header"/>
    </w:pPr>
    <w:r>
      <w:rPr>
        <w:noProof/>
        <w:lang w:eastAsia="en-GB"/>
      </w:rPr>
      <w:drawing>
        <wp:anchor distT="0" distB="0" distL="114300" distR="114300" simplePos="0" relativeHeight="251658240" behindDoc="1" locked="0" layoutInCell="1" allowOverlap="1" wp14:anchorId="19FC8F59" wp14:editId="09140966">
          <wp:simplePos x="0" y="0"/>
          <wp:positionH relativeFrom="column">
            <wp:posOffset>-895985</wp:posOffset>
          </wp:positionH>
          <wp:positionV relativeFrom="paragraph">
            <wp:posOffset>-479425</wp:posOffset>
          </wp:positionV>
          <wp:extent cx="7568565" cy="10720070"/>
          <wp:effectExtent l="0" t="0" r="0" b="5080"/>
          <wp:wrapNone/>
          <wp:docPr id="4" name="Picture 0" descr="Word Cover_Repo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Word Cover_Report.jpg"/>
                  <pic:cNvPicPr>
                    <a:picLocks noChangeAspect="1" noChangeArrowheads="1"/>
                  </pic:cNvPicPr>
                </pic:nvPicPr>
                <pic:blipFill>
                  <a:blip r:embed="rId1"/>
                  <a:srcRect/>
                  <a:stretch>
                    <a:fillRect/>
                  </a:stretch>
                </pic:blipFill>
                <pic:spPr bwMode="auto">
                  <a:xfrm>
                    <a:off x="0" y="0"/>
                    <a:ext cx="7568565" cy="10720070"/>
                  </a:xfrm>
                  <a:prstGeom prst="rect">
                    <a:avLst/>
                  </a:prstGeom>
                  <a:noFill/>
                  <a:ln w="9525">
                    <a:noFill/>
                    <a:miter lim="800000"/>
                    <a:headEnd/>
                    <a:tailEnd/>
                  </a:ln>
                </pic:spPr>
              </pic:pic>
            </a:graphicData>
          </a:graphic>
        </wp:anchor>
      </w:drawing>
    </w:r>
    <w:r>
      <w:rPr>
        <w:noProof/>
        <w:lang w:eastAsia="en-GB"/>
      </w:rPr>
      <mc:AlternateContent>
        <mc:Choice Requires="wps">
          <w:drawing>
            <wp:anchor distT="45720" distB="45720" distL="114300" distR="114300" simplePos="0" relativeHeight="251660288" behindDoc="0" locked="0" layoutInCell="1" allowOverlap="1" wp14:anchorId="60B94D25" wp14:editId="3FD15C08">
              <wp:simplePos x="0" y="0"/>
              <wp:positionH relativeFrom="column">
                <wp:posOffset>5445125</wp:posOffset>
              </wp:positionH>
              <wp:positionV relativeFrom="paragraph">
                <wp:posOffset>-267335</wp:posOffset>
              </wp:positionV>
              <wp:extent cx="1092835" cy="1404620"/>
              <wp:effectExtent l="0" t="0" r="12065"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835" cy="1404620"/>
                      </a:xfrm>
                      <a:prstGeom prst="rect">
                        <a:avLst/>
                      </a:prstGeom>
                      <a:solidFill>
                        <a:srgbClr val="FFFFFF"/>
                      </a:solidFill>
                      <a:ln w="9525">
                        <a:solidFill>
                          <a:srgbClr val="000000"/>
                        </a:solidFill>
                        <a:miter lim="800000"/>
                        <a:headEnd/>
                        <a:tailEnd/>
                      </a:ln>
                    </wps:spPr>
                    <wps:txbx>
                      <w:txbxContent>
                        <w:p w:rsidR="00707422" w:rsidRPr="000C5639" w:rsidRDefault="00707422">
                          <w:pPr>
                            <w:rPr>
                              <w:b/>
                            </w:rPr>
                          </w:pPr>
                          <w:r w:rsidRPr="000C5639">
                            <w:rPr>
                              <w:b/>
                            </w:rPr>
                            <w:t xml:space="preserve">Appendix </w:t>
                          </w:r>
                          <w:r>
                            <w:rPr>
                              <w:b/>
                            </w:rPr>
                            <w:t>B</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0B94D25" id="_x0000_t202" coordsize="21600,21600" o:spt="202" path="m,l,21600r21600,l21600,xe">
              <v:stroke joinstyle="miter"/>
              <v:path gradientshapeok="t" o:connecttype="rect"/>
            </v:shapetype>
            <v:shape id="Text Box 2" o:spid="_x0000_s1027" type="#_x0000_t202" style="position:absolute;left:0;text-align:left;margin-left:428.75pt;margin-top:-21.05pt;width:86.0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jjJQIAAEcEAAAOAAAAZHJzL2Uyb0RvYy54bWysU8tu2zAQvBfoPxC815JVO7EFy0Hq1EWB&#10;9AEk/YAVRVlE+SpJW3K/PkvKcY20vRTVgSC1y+HszO7qZlCSHLjzwuiKTic5JVwz0wi9q+i3x+2b&#10;BSU+gG5AGs0reuSe3qxfv1r1tuSF6YxsuCMIon3Z24p2IdgyyzzruAI/MZZrDLbGKQh4dLuscdAj&#10;upJZkedXWW9cY51h3Hv8ezcG6Trhty1n4Uvbeh6IrChyC2l1aa3jmq1XUO4c2E6wEw34BxYKhMZH&#10;z1B3EIDsnfgNSgnmjDdtmDCjMtO2gvFUA1YzzV9U89CB5akWFMfbs0z+/8Gyz4evjoimosX0mhIN&#10;Ck165EMg78xAiqhPb32JaQ8WE8OAv9HnVKu394Z990SbTQd6x2+dM33HoUF+03gzu7g64vgIUvef&#10;TIPPwD6YBDS0TkXxUA6C6OjT8exNpMLik/myWLydU8IwNp3ls6siuZdB+XzdOh8+cKNI3FTUofkJ&#10;Hg73PkQ6UD6nxNe8kaLZCinTwe3qjXTkANgo2/SlCl6kSU36ii7nxXxU4K8Qefr+BKFEwI6XQlV0&#10;cU6CMur2XjepHwMIOe6RstQnIaN2o4phqIeTMbVpjiipM2Nn4yTipjPuJyU9dnVF/Y89OE6J/KjR&#10;luV0NotjkA6z+TVqSNxlpL6MgGYIVdFAybjdhDQ6STB7i/ZtRRI2+jwyOXHFbk16nyYrjsPlOWX9&#10;mv/1EwAAAP//AwBQSwMEFAAGAAgAAAAhADcmf8LgAAAADAEAAA8AAABkcnMvZG93bnJldi54bWxM&#10;j8FuwjAMhu9Ie4fISLsgSNvRAl1TtCFx2omO3UPjtRWN0yUBytsvnLabLX/6/f3FdtQ9u6J1nSEB&#10;8SIChlQb1VEj4Pi5n6+BOS9Jyd4QCrijg235NClkrsyNDnitfMNCCLlcCmi9H3LOXd2ilm5hBqRw&#10;+zZWSx9W23Bl5S2E654nUZRxLTsKH1o54K7F+lxdtIDsp3qZfXypGR3u+3db61TtjqkQz9Px7RWY&#10;x9H/wfDQD+pQBqeTuZByrBewTldpQAXMl0kM7EFEySYDdgrTahMDLwv+v0T5CwAA//8DAFBLAQIt&#10;ABQABgAIAAAAIQC2gziS/gAAAOEBAAATAAAAAAAAAAAAAAAAAAAAAABbQ29udGVudF9UeXBlc10u&#10;eG1sUEsBAi0AFAAGAAgAAAAhADj9If/WAAAAlAEAAAsAAAAAAAAAAAAAAAAALwEAAF9yZWxzLy5y&#10;ZWxzUEsBAi0AFAAGAAgAAAAhAFz5mOMlAgAARwQAAA4AAAAAAAAAAAAAAAAALgIAAGRycy9lMm9E&#10;b2MueG1sUEsBAi0AFAAGAAgAAAAhADcmf8LgAAAADAEAAA8AAAAAAAAAAAAAAAAAfwQAAGRycy9k&#10;b3ducmV2LnhtbFBLBQYAAAAABAAEAPMAAACMBQAAAAA=&#10;">
              <v:textbox style="mso-fit-shape-to-text:t">
                <w:txbxContent>
                  <w:p w:rsidR="00707422" w:rsidRPr="000C5639" w:rsidRDefault="00707422">
                    <w:pPr>
                      <w:rPr>
                        <w:b/>
                      </w:rPr>
                    </w:pPr>
                    <w:r w:rsidRPr="000C5639">
                      <w:rPr>
                        <w:b/>
                      </w:rPr>
                      <w:t xml:space="preserve">Appendix </w:t>
                    </w:r>
                    <w:r>
                      <w:rPr>
                        <w:b/>
                      </w:rPr>
                      <w:t>B</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0834C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E19256E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8470408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FCEC45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1660B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46A46B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94E64F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36E9B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68092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25ED32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894EE873"/>
    <w:lvl w:ilvl="0">
      <w:start w:val="1"/>
      <w:numFmt w:val="decimal"/>
      <w:pStyle w:val="ImportWordListStyleDefinition30"/>
      <w:lvlText w:val="%1."/>
      <w:lvlJc w:val="left"/>
      <w:pPr>
        <w:tabs>
          <w:tab w:val="num" w:pos="360"/>
        </w:tabs>
        <w:ind w:left="360" w:firstLine="0"/>
      </w:pPr>
      <w:rPr>
        <w:rFonts w:cs="Times New Roman"/>
        <w:position w:val="0"/>
      </w:rPr>
    </w:lvl>
    <w:lvl w:ilvl="1">
      <w:start w:val="1"/>
      <w:numFmt w:val="lowerLetter"/>
      <w:lvlText w:val="%2."/>
      <w:lvlJc w:val="left"/>
      <w:pPr>
        <w:tabs>
          <w:tab w:val="num" w:pos="360"/>
        </w:tabs>
        <w:ind w:left="360" w:firstLine="720"/>
      </w:pPr>
      <w:rPr>
        <w:rFonts w:cs="Times New Roman"/>
        <w:position w:val="0"/>
      </w:rPr>
    </w:lvl>
    <w:lvl w:ilvl="2">
      <w:start w:val="1"/>
      <w:numFmt w:val="lowerRoman"/>
      <w:lvlText w:val="%3."/>
      <w:lvlJc w:val="left"/>
      <w:pPr>
        <w:tabs>
          <w:tab w:val="num" w:pos="296"/>
        </w:tabs>
        <w:ind w:left="296" w:firstLine="1504"/>
      </w:pPr>
      <w:rPr>
        <w:rFonts w:cs="Times New Roman"/>
        <w:position w:val="0"/>
      </w:rPr>
    </w:lvl>
    <w:lvl w:ilvl="3">
      <w:start w:val="1"/>
      <w:numFmt w:val="decimal"/>
      <w:lvlText w:val="%4."/>
      <w:lvlJc w:val="left"/>
      <w:pPr>
        <w:tabs>
          <w:tab w:val="num" w:pos="360"/>
        </w:tabs>
        <w:ind w:left="360" w:firstLine="2160"/>
      </w:pPr>
      <w:rPr>
        <w:rFonts w:cs="Times New Roman"/>
        <w:position w:val="0"/>
      </w:rPr>
    </w:lvl>
    <w:lvl w:ilvl="4">
      <w:start w:val="1"/>
      <w:numFmt w:val="lowerLetter"/>
      <w:lvlText w:val="%5."/>
      <w:lvlJc w:val="left"/>
      <w:pPr>
        <w:tabs>
          <w:tab w:val="num" w:pos="360"/>
        </w:tabs>
        <w:ind w:left="360" w:firstLine="2880"/>
      </w:pPr>
      <w:rPr>
        <w:rFonts w:cs="Times New Roman"/>
        <w:position w:val="0"/>
      </w:rPr>
    </w:lvl>
    <w:lvl w:ilvl="5">
      <w:start w:val="1"/>
      <w:numFmt w:val="lowerRoman"/>
      <w:lvlText w:val="%6."/>
      <w:lvlJc w:val="left"/>
      <w:pPr>
        <w:tabs>
          <w:tab w:val="num" w:pos="296"/>
        </w:tabs>
        <w:ind w:left="296" w:firstLine="3664"/>
      </w:pPr>
      <w:rPr>
        <w:rFonts w:cs="Times New Roman"/>
        <w:position w:val="0"/>
      </w:rPr>
    </w:lvl>
    <w:lvl w:ilvl="6">
      <w:start w:val="1"/>
      <w:numFmt w:val="decimal"/>
      <w:lvlText w:val="%7."/>
      <w:lvlJc w:val="left"/>
      <w:pPr>
        <w:tabs>
          <w:tab w:val="num" w:pos="360"/>
        </w:tabs>
        <w:ind w:left="360" w:firstLine="4320"/>
      </w:pPr>
      <w:rPr>
        <w:rFonts w:cs="Times New Roman"/>
        <w:position w:val="0"/>
      </w:rPr>
    </w:lvl>
    <w:lvl w:ilvl="7">
      <w:start w:val="1"/>
      <w:numFmt w:val="lowerLetter"/>
      <w:lvlText w:val="%8."/>
      <w:lvlJc w:val="left"/>
      <w:pPr>
        <w:tabs>
          <w:tab w:val="num" w:pos="360"/>
        </w:tabs>
        <w:ind w:left="360" w:firstLine="5040"/>
      </w:pPr>
      <w:rPr>
        <w:rFonts w:cs="Times New Roman"/>
        <w:position w:val="0"/>
      </w:rPr>
    </w:lvl>
    <w:lvl w:ilvl="8">
      <w:start w:val="1"/>
      <w:numFmt w:val="lowerRoman"/>
      <w:lvlText w:val="%9."/>
      <w:lvlJc w:val="left"/>
      <w:pPr>
        <w:tabs>
          <w:tab w:val="num" w:pos="296"/>
        </w:tabs>
        <w:ind w:left="296" w:firstLine="5824"/>
      </w:pPr>
      <w:rPr>
        <w:rFonts w:cs="Times New Roman"/>
        <w:position w:val="0"/>
      </w:rPr>
    </w:lvl>
  </w:abstractNum>
  <w:abstractNum w:abstractNumId="11" w15:restartNumberingAfterBreak="0">
    <w:nsid w:val="00000003"/>
    <w:multiLevelType w:val="multilevel"/>
    <w:tmpl w:val="894EE875"/>
    <w:lvl w:ilvl="0">
      <w:start w:val="1"/>
      <w:numFmt w:val="bullet"/>
      <w:pStyle w:val="ImportWordListStyleDefinition19"/>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2" w15:restartNumberingAfterBreak="0">
    <w:nsid w:val="00000005"/>
    <w:multiLevelType w:val="multilevel"/>
    <w:tmpl w:val="894EE877"/>
    <w:lvl w:ilvl="0">
      <w:start w:val="1"/>
      <w:numFmt w:val="bullet"/>
      <w:pStyle w:val="List0"/>
      <w:lvlText w:val="•"/>
      <w:lvlJc w:val="left"/>
      <w:pPr>
        <w:tabs>
          <w:tab w:val="num" w:pos="360"/>
        </w:tabs>
        <w:ind w:left="360" w:firstLine="774"/>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3" w15:restartNumberingAfterBreak="0">
    <w:nsid w:val="00000006"/>
    <w:multiLevelType w:val="multilevel"/>
    <w:tmpl w:val="894EE878"/>
    <w:lvl w:ilvl="0">
      <w:start w:val="1"/>
      <w:numFmt w:val="bullet"/>
      <w:pStyle w:val="ImportWordListStyleDefinition1"/>
      <w:lvlText w:val="•"/>
      <w:lvlJc w:val="left"/>
      <w:pPr>
        <w:tabs>
          <w:tab w:val="num" w:pos="360"/>
        </w:tabs>
        <w:ind w:left="360" w:firstLine="5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2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20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7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44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416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88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60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327"/>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4" w15:restartNumberingAfterBreak="0">
    <w:nsid w:val="00000008"/>
    <w:multiLevelType w:val="multilevel"/>
    <w:tmpl w:val="894EE87A"/>
    <w:lvl w:ilvl="0">
      <w:start w:val="1"/>
      <w:numFmt w:val="bullet"/>
      <w:pStyle w:val="List1"/>
      <w:lvlText w:val="•"/>
      <w:lvlJc w:val="left"/>
      <w:pPr>
        <w:tabs>
          <w:tab w:val="num" w:pos="153"/>
        </w:tabs>
        <w:ind w:left="153" w:firstLine="567"/>
      </w:pPr>
      <w:rPr>
        <w:position w:val="0"/>
      </w:rPr>
    </w:lvl>
    <w:lvl w:ilvl="1">
      <w:start w:val="1"/>
      <w:numFmt w:val="bullet"/>
      <w:lvlText w:val="o"/>
      <w:lvlJc w:val="left"/>
      <w:pPr>
        <w:tabs>
          <w:tab w:val="num" w:pos="360"/>
        </w:tabs>
        <w:ind w:left="360" w:firstLine="1287"/>
      </w:pPr>
      <w:rPr>
        <w:position w:val="0"/>
      </w:rPr>
    </w:lvl>
    <w:lvl w:ilvl="2">
      <w:start w:val="1"/>
      <w:numFmt w:val="bullet"/>
      <w:lvlText w:val="•"/>
      <w:lvlJc w:val="left"/>
      <w:pPr>
        <w:tabs>
          <w:tab w:val="num" w:pos="360"/>
        </w:tabs>
        <w:ind w:left="360" w:firstLine="2007"/>
      </w:pPr>
      <w:rPr>
        <w:position w:val="0"/>
      </w:rPr>
    </w:lvl>
    <w:lvl w:ilvl="3">
      <w:start w:val="1"/>
      <w:numFmt w:val="bullet"/>
      <w:lvlText w:val="•"/>
      <w:lvlJc w:val="left"/>
      <w:pPr>
        <w:tabs>
          <w:tab w:val="num" w:pos="360"/>
        </w:tabs>
        <w:ind w:left="360" w:firstLine="2727"/>
      </w:pPr>
      <w:rPr>
        <w:position w:val="0"/>
      </w:rPr>
    </w:lvl>
    <w:lvl w:ilvl="4">
      <w:start w:val="1"/>
      <w:numFmt w:val="bullet"/>
      <w:lvlText w:val="o"/>
      <w:lvlJc w:val="left"/>
      <w:pPr>
        <w:tabs>
          <w:tab w:val="num" w:pos="360"/>
        </w:tabs>
        <w:ind w:left="360" w:firstLine="3447"/>
      </w:pPr>
      <w:rPr>
        <w:position w:val="0"/>
      </w:rPr>
    </w:lvl>
    <w:lvl w:ilvl="5">
      <w:start w:val="1"/>
      <w:numFmt w:val="bullet"/>
      <w:lvlText w:val="•"/>
      <w:lvlJc w:val="left"/>
      <w:pPr>
        <w:tabs>
          <w:tab w:val="num" w:pos="360"/>
        </w:tabs>
        <w:ind w:left="360" w:firstLine="4167"/>
      </w:pPr>
      <w:rPr>
        <w:position w:val="0"/>
      </w:rPr>
    </w:lvl>
    <w:lvl w:ilvl="6">
      <w:start w:val="1"/>
      <w:numFmt w:val="bullet"/>
      <w:lvlText w:val="•"/>
      <w:lvlJc w:val="left"/>
      <w:pPr>
        <w:tabs>
          <w:tab w:val="num" w:pos="360"/>
        </w:tabs>
        <w:ind w:left="360" w:firstLine="4887"/>
      </w:pPr>
      <w:rPr>
        <w:position w:val="0"/>
      </w:rPr>
    </w:lvl>
    <w:lvl w:ilvl="7">
      <w:start w:val="1"/>
      <w:numFmt w:val="bullet"/>
      <w:lvlText w:val="o"/>
      <w:lvlJc w:val="left"/>
      <w:pPr>
        <w:tabs>
          <w:tab w:val="num" w:pos="360"/>
        </w:tabs>
        <w:ind w:left="360" w:firstLine="5607"/>
      </w:pPr>
      <w:rPr>
        <w:position w:val="0"/>
      </w:rPr>
    </w:lvl>
    <w:lvl w:ilvl="8">
      <w:start w:val="1"/>
      <w:numFmt w:val="bullet"/>
      <w:lvlText w:val="•"/>
      <w:lvlJc w:val="left"/>
      <w:pPr>
        <w:tabs>
          <w:tab w:val="num" w:pos="360"/>
        </w:tabs>
        <w:ind w:left="360" w:firstLine="6327"/>
      </w:pPr>
      <w:rPr>
        <w:position w:val="0"/>
      </w:rPr>
    </w:lvl>
  </w:abstractNum>
  <w:abstractNum w:abstractNumId="15" w15:restartNumberingAfterBreak="0">
    <w:nsid w:val="0000001E"/>
    <w:multiLevelType w:val="multilevel"/>
    <w:tmpl w:val="894EE890"/>
    <w:lvl w:ilvl="0">
      <w:start w:val="1"/>
      <w:numFmt w:val="bullet"/>
      <w:pStyle w:val="ImportWordListStyleDefinition13"/>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6" w15:restartNumberingAfterBreak="0">
    <w:nsid w:val="00000020"/>
    <w:multiLevelType w:val="multilevel"/>
    <w:tmpl w:val="894EE892"/>
    <w:lvl w:ilvl="0">
      <w:start w:val="1"/>
      <w:numFmt w:val="bullet"/>
      <w:pStyle w:val="ImportWordListStyleDefinition2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7" w15:restartNumberingAfterBreak="0">
    <w:nsid w:val="00000022"/>
    <w:multiLevelType w:val="multilevel"/>
    <w:tmpl w:val="894EE894"/>
    <w:lvl w:ilvl="0">
      <w:start w:val="1"/>
      <w:numFmt w:val="bullet"/>
      <w:pStyle w:val="List21"/>
      <w:lvlText w:val="•"/>
      <w:lvlJc w:val="left"/>
      <w:pPr>
        <w:tabs>
          <w:tab w:val="num" w:pos="426"/>
        </w:tabs>
        <w:ind w:left="426" w:firstLine="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18" w15:restartNumberingAfterBreak="0">
    <w:nsid w:val="00000023"/>
    <w:multiLevelType w:val="multilevel"/>
    <w:tmpl w:val="894EE895"/>
    <w:lvl w:ilvl="0">
      <w:start w:val="1"/>
      <w:numFmt w:val="bullet"/>
      <w:pStyle w:val="ImportWordListStyleDefinition17"/>
      <w:lvlText w:val="•"/>
      <w:lvlJc w:val="left"/>
      <w:pPr>
        <w:tabs>
          <w:tab w:val="num" w:pos="360"/>
        </w:tabs>
        <w:ind w:left="360" w:firstLine="3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1">
      <w:start w:val="1"/>
      <w:numFmt w:val="bullet"/>
      <w:lvlText w:val="o"/>
      <w:lvlJc w:val="left"/>
      <w:pPr>
        <w:tabs>
          <w:tab w:val="num" w:pos="360"/>
        </w:tabs>
        <w:ind w:left="360" w:firstLine="10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2">
      <w:start w:val="1"/>
      <w:numFmt w:val="bullet"/>
      <w:lvlText w:val="•"/>
      <w:lvlJc w:val="left"/>
      <w:pPr>
        <w:tabs>
          <w:tab w:val="num" w:pos="360"/>
        </w:tabs>
        <w:ind w:left="360" w:firstLine="18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3">
      <w:start w:val="1"/>
      <w:numFmt w:val="bullet"/>
      <w:lvlText w:val="•"/>
      <w:lvlJc w:val="left"/>
      <w:pPr>
        <w:tabs>
          <w:tab w:val="num" w:pos="360"/>
        </w:tabs>
        <w:ind w:left="360" w:firstLine="25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4">
      <w:start w:val="1"/>
      <w:numFmt w:val="bullet"/>
      <w:lvlText w:val="o"/>
      <w:lvlJc w:val="left"/>
      <w:pPr>
        <w:tabs>
          <w:tab w:val="num" w:pos="360"/>
        </w:tabs>
        <w:ind w:left="360" w:firstLine="324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5">
      <w:start w:val="1"/>
      <w:numFmt w:val="bullet"/>
      <w:lvlText w:val="•"/>
      <w:lvlJc w:val="left"/>
      <w:pPr>
        <w:tabs>
          <w:tab w:val="num" w:pos="360"/>
        </w:tabs>
        <w:ind w:left="360" w:firstLine="396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6">
      <w:start w:val="1"/>
      <w:numFmt w:val="bullet"/>
      <w:lvlText w:val="•"/>
      <w:lvlJc w:val="left"/>
      <w:pPr>
        <w:tabs>
          <w:tab w:val="num" w:pos="360"/>
        </w:tabs>
        <w:ind w:left="360" w:firstLine="468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7">
      <w:start w:val="1"/>
      <w:numFmt w:val="bullet"/>
      <w:lvlText w:val="o"/>
      <w:lvlJc w:val="left"/>
      <w:pPr>
        <w:tabs>
          <w:tab w:val="num" w:pos="360"/>
        </w:tabs>
        <w:ind w:left="360" w:firstLine="540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lvl w:ilvl="8">
      <w:start w:val="1"/>
      <w:numFmt w:val="bullet"/>
      <w:lvlText w:val="•"/>
      <w:lvlJc w:val="left"/>
      <w:pPr>
        <w:tabs>
          <w:tab w:val="num" w:pos="360"/>
        </w:tabs>
        <w:ind w:left="360" w:firstLine="6120"/>
      </w:pPr>
      <w:rPr>
        <w:rFonts w:ascii="Arial" w:eastAsia="Arial Unicode MS" w:hAnsi="Arial" w:cs="Times New Roman" w:hint="default"/>
        <w:b w:val="0"/>
        <w:i w:val="0"/>
        <w:caps w:val="0"/>
        <w:smallCaps w:val="0"/>
        <w:strike w:val="0"/>
        <w:dstrike w:val="0"/>
        <w:color w:val="000000"/>
        <w:kern w:val="0"/>
        <w:position w:val="0"/>
        <w:sz w:val="24"/>
        <w:u w:val="none" w:color="000000"/>
        <w:effect w:val="none"/>
        <w:vertAlign w:val="baseline"/>
      </w:rPr>
    </w:lvl>
  </w:abstractNum>
  <w:abstractNum w:abstractNumId="19" w15:restartNumberingAfterBreak="0">
    <w:nsid w:val="00000025"/>
    <w:multiLevelType w:val="multilevel"/>
    <w:tmpl w:val="894EE897"/>
    <w:lvl w:ilvl="0">
      <w:start w:val="1"/>
      <w:numFmt w:val="bullet"/>
      <w:pStyle w:val="ImportWordListStyleDefinition5"/>
      <w:lvlText w:val="•"/>
      <w:lvlJc w:val="left"/>
      <w:pPr>
        <w:tabs>
          <w:tab w:val="num" w:pos="360"/>
        </w:tabs>
        <w:ind w:left="360" w:firstLine="360"/>
      </w:pPr>
      <w:rPr>
        <w:position w:val="0"/>
      </w:rPr>
    </w:lvl>
    <w:lvl w:ilvl="1">
      <w:start w:val="1"/>
      <w:numFmt w:val="bullet"/>
      <w:lvlText w:val="o"/>
      <w:lvlJc w:val="left"/>
      <w:pPr>
        <w:tabs>
          <w:tab w:val="num" w:pos="360"/>
        </w:tabs>
        <w:ind w:left="360" w:firstLine="1080"/>
      </w:pPr>
      <w:rPr>
        <w:position w:val="0"/>
      </w:rPr>
    </w:lvl>
    <w:lvl w:ilvl="2">
      <w:start w:val="1"/>
      <w:numFmt w:val="bullet"/>
      <w:lvlText w:val="•"/>
      <w:lvlJc w:val="left"/>
      <w:pPr>
        <w:tabs>
          <w:tab w:val="num" w:pos="360"/>
        </w:tabs>
        <w:ind w:left="360" w:firstLine="1800"/>
      </w:pPr>
      <w:rPr>
        <w:position w:val="0"/>
      </w:rPr>
    </w:lvl>
    <w:lvl w:ilvl="3">
      <w:start w:val="1"/>
      <w:numFmt w:val="bullet"/>
      <w:lvlText w:val="•"/>
      <w:lvlJc w:val="left"/>
      <w:pPr>
        <w:tabs>
          <w:tab w:val="num" w:pos="360"/>
        </w:tabs>
        <w:ind w:left="360" w:firstLine="2520"/>
      </w:pPr>
      <w:rPr>
        <w:position w:val="0"/>
      </w:rPr>
    </w:lvl>
    <w:lvl w:ilvl="4">
      <w:start w:val="1"/>
      <w:numFmt w:val="bullet"/>
      <w:lvlText w:val="o"/>
      <w:lvlJc w:val="left"/>
      <w:pPr>
        <w:tabs>
          <w:tab w:val="num" w:pos="360"/>
        </w:tabs>
        <w:ind w:left="360" w:firstLine="3240"/>
      </w:pPr>
      <w:rPr>
        <w:position w:val="0"/>
      </w:rPr>
    </w:lvl>
    <w:lvl w:ilvl="5">
      <w:start w:val="1"/>
      <w:numFmt w:val="bullet"/>
      <w:lvlText w:val="•"/>
      <w:lvlJc w:val="left"/>
      <w:pPr>
        <w:tabs>
          <w:tab w:val="num" w:pos="360"/>
        </w:tabs>
        <w:ind w:left="360" w:firstLine="3960"/>
      </w:pPr>
      <w:rPr>
        <w:position w:val="0"/>
      </w:rPr>
    </w:lvl>
    <w:lvl w:ilvl="6">
      <w:start w:val="1"/>
      <w:numFmt w:val="bullet"/>
      <w:lvlText w:val="•"/>
      <w:lvlJc w:val="left"/>
      <w:pPr>
        <w:tabs>
          <w:tab w:val="num" w:pos="360"/>
        </w:tabs>
        <w:ind w:left="360" w:firstLine="4680"/>
      </w:pPr>
      <w:rPr>
        <w:position w:val="0"/>
      </w:rPr>
    </w:lvl>
    <w:lvl w:ilvl="7">
      <w:start w:val="1"/>
      <w:numFmt w:val="bullet"/>
      <w:lvlText w:val="o"/>
      <w:lvlJc w:val="left"/>
      <w:pPr>
        <w:tabs>
          <w:tab w:val="num" w:pos="360"/>
        </w:tabs>
        <w:ind w:left="360" w:firstLine="5400"/>
      </w:pPr>
      <w:rPr>
        <w:position w:val="0"/>
      </w:rPr>
    </w:lvl>
    <w:lvl w:ilvl="8">
      <w:start w:val="1"/>
      <w:numFmt w:val="bullet"/>
      <w:lvlText w:val="•"/>
      <w:lvlJc w:val="left"/>
      <w:pPr>
        <w:tabs>
          <w:tab w:val="num" w:pos="360"/>
        </w:tabs>
        <w:ind w:left="360" w:firstLine="6120"/>
      </w:pPr>
      <w:rPr>
        <w:position w:val="0"/>
      </w:rPr>
    </w:lvl>
  </w:abstractNum>
  <w:abstractNum w:abstractNumId="20" w15:restartNumberingAfterBreak="0">
    <w:nsid w:val="0C985E58"/>
    <w:multiLevelType w:val="hybridMultilevel"/>
    <w:tmpl w:val="303017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13A66F29"/>
    <w:multiLevelType w:val="hybridMultilevel"/>
    <w:tmpl w:val="3A1A49F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194E6E76"/>
    <w:multiLevelType w:val="hybridMultilevel"/>
    <w:tmpl w:val="C6F66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25974DE"/>
    <w:multiLevelType w:val="hybridMultilevel"/>
    <w:tmpl w:val="9D4278F8"/>
    <w:lvl w:ilvl="0" w:tplc="09C4207C">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B313AEB"/>
    <w:multiLevelType w:val="hybridMultilevel"/>
    <w:tmpl w:val="C942A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6" w15:restartNumberingAfterBreak="0">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49375E1"/>
    <w:multiLevelType w:val="hybridMultilevel"/>
    <w:tmpl w:val="0CE622B0"/>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8" w15:restartNumberingAfterBreak="0">
    <w:nsid w:val="4C551976"/>
    <w:multiLevelType w:val="hybridMultilevel"/>
    <w:tmpl w:val="1994B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F26A82"/>
    <w:multiLevelType w:val="hybridMultilevel"/>
    <w:tmpl w:val="AEEAB8B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E3D0BFF"/>
    <w:multiLevelType w:val="hybridMultilevel"/>
    <w:tmpl w:val="C962287C"/>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364" w:hanging="360"/>
      </w:pPr>
      <w:rPr>
        <w:rFonts w:ascii="Courier New" w:hAnsi="Courier New" w:cs="Courier New" w:hint="default"/>
      </w:rPr>
    </w:lvl>
    <w:lvl w:ilvl="2" w:tplc="08090005">
      <w:start w:val="1"/>
      <w:numFmt w:val="bullet"/>
      <w:lvlText w:val=""/>
      <w:lvlJc w:val="left"/>
      <w:pPr>
        <w:ind w:left="2084" w:hanging="360"/>
      </w:pPr>
      <w:rPr>
        <w:rFonts w:ascii="Wingdings" w:hAnsi="Wingdings" w:hint="default"/>
      </w:rPr>
    </w:lvl>
    <w:lvl w:ilvl="3" w:tplc="08090001">
      <w:start w:val="1"/>
      <w:numFmt w:val="bullet"/>
      <w:lvlText w:val=""/>
      <w:lvlJc w:val="left"/>
      <w:pPr>
        <w:ind w:left="2804" w:hanging="360"/>
      </w:pPr>
      <w:rPr>
        <w:rFonts w:ascii="Symbol" w:hAnsi="Symbol" w:hint="default"/>
      </w:rPr>
    </w:lvl>
    <w:lvl w:ilvl="4" w:tplc="08090003">
      <w:start w:val="1"/>
      <w:numFmt w:val="bullet"/>
      <w:lvlText w:val="o"/>
      <w:lvlJc w:val="left"/>
      <w:pPr>
        <w:ind w:left="3524" w:hanging="360"/>
      </w:pPr>
      <w:rPr>
        <w:rFonts w:ascii="Courier New" w:hAnsi="Courier New" w:cs="Courier New" w:hint="default"/>
      </w:rPr>
    </w:lvl>
    <w:lvl w:ilvl="5" w:tplc="08090005">
      <w:start w:val="1"/>
      <w:numFmt w:val="bullet"/>
      <w:lvlText w:val=""/>
      <w:lvlJc w:val="left"/>
      <w:pPr>
        <w:ind w:left="4244" w:hanging="360"/>
      </w:pPr>
      <w:rPr>
        <w:rFonts w:ascii="Wingdings" w:hAnsi="Wingdings" w:hint="default"/>
      </w:rPr>
    </w:lvl>
    <w:lvl w:ilvl="6" w:tplc="08090001">
      <w:start w:val="1"/>
      <w:numFmt w:val="bullet"/>
      <w:lvlText w:val=""/>
      <w:lvlJc w:val="left"/>
      <w:pPr>
        <w:ind w:left="4964" w:hanging="360"/>
      </w:pPr>
      <w:rPr>
        <w:rFonts w:ascii="Symbol" w:hAnsi="Symbol" w:hint="default"/>
      </w:rPr>
    </w:lvl>
    <w:lvl w:ilvl="7" w:tplc="08090003">
      <w:start w:val="1"/>
      <w:numFmt w:val="bullet"/>
      <w:lvlText w:val="o"/>
      <w:lvlJc w:val="left"/>
      <w:pPr>
        <w:ind w:left="5684" w:hanging="360"/>
      </w:pPr>
      <w:rPr>
        <w:rFonts w:ascii="Courier New" w:hAnsi="Courier New" w:cs="Courier New" w:hint="default"/>
      </w:rPr>
    </w:lvl>
    <w:lvl w:ilvl="8" w:tplc="08090005">
      <w:start w:val="1"/>
      <w:numFmt w:val="bullet"/>
      <w:lvlText w:val=""/>
      <w:lvlJc w:val="left"/>
      <w:pPr>
        <w:ind w:left="6404" w:hanging="360"/>
      </w:pPr>
      <w:rPr>
        <w:rFonts w:ascii="Wingdings" w:hAnsi="Wingdings" w:hint="default"/>
      </w:rPr>
    </w:lvl>
  </w:abstractNum>
  <w:abstractNum w:abstractNumId="31" w15:restartNumberingAfterBreak="0">
    <w:nsid w:val="5F4A6DDA"/>
    <w:multiLevelType w:val="hybridMultilevel"/>
    <w:tmpl w:val="7C5EB37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2" w15:restartNumberingAfterBreak="0">
    <w:nsid w:val="619F550E"/>
    <w:multiLevelType w:val="hybridMultilevel"/>
    <w:tmpl w:val="0D42F2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C374F1"/>
    <w:multiLevelType w:val="hybridMultilevel"/>
    <w:tmpl w:val="4770EB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69AE05E5"/>
    <w:multiLevelType w:val="hybridMultilevel"/>
    <w:tmpl w:val="C01CA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FC7B04"/>
    <w:multiLevelType w:val="hybridMultilevel"/>
    <w:tmpl w:val="C9F452C8"/>
    <w:lvl w:ilvl="0" w:tplc="3B2C852E">
      <w:start w:val="1"/>
      <w:numFmt w:val="decimal"/>
      <w:lvlText w:val="%1."/>
      <w:lvlJc w:val="left"/>
      <w:pPr>
        <w:ind w:left="930" w:hanging="57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CB93E4D"/>
    <w:multiLevelType w:val="multilevel"/>
    <w:tmpl w:val="B704A0DA"/>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8" w15:restartNumberingAfterBreak="0">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8CB5C1A"/>
    <w:multiLevelType w:val="hybridMultilevel"/>
    <w:tmpl w:val="DD9C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6"/>
  </w:num>
  <w:num w:numId="3">
    <w:abstractNumId w:val="38"/>
  </w:num>
  <w:num w:numId="4">
    <w:abstractNumId w:val="34"/>
  </w:num>
  <w:num w:numId="5">
    <w:abstractNumId w:val="10"/>
  </w:num>
  <w:num w:numId="6">
    <w:abstractNumId w:val="11"/>
  </w:num>
  <w:num w:numId="7">
    <w:abstractNumId w:val="13"/>
  </w:num>
  <w:num w:numId="8">
    <w:abstractNumId w:val="14"/>
  </w:num>
  <w:num w:numId="9">
    <w:abstractNumId w:val="15"/>
  </w:num>
  <w:num w:numId="10">
    <w:abstractNumId w:val="16"/>
  </w:num>
  <w:num w:numId="11">
    <w:abstractNumId w:val="18"/>
  </w:num>
  <w:num w:numId="12">
    <w:abstractNumId w:val="19"/>
  </w:num>
  <w:num w:numId="13">
    <w:abstractNumId w:val="17"/>
  </w:num>
  <w:num w:numId="14">
    <w:abstractNumId w:val="12"/>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32"/>
  </w:num>
  <w:num w:numId="26">
    <w:abstractNumId w:val="35"/>
  </w:num>
  <w:num w:numId="27">
    <w:abstractNumId w:val="30"/>
  </w:num>
  <w:num w:numId="28">
    <w:abstractNumId w:val="36"/>
  </w:num>
  <w:num w:numId="29">
    <w:abstractNumId w:val="37"/>
  </w:num>
  <w:num w:numId="30">
    <w:abstractNumId w:val="31"/>
  </w:num>
  <w:num w:numId="31">
    <w:abstractNumId w:val="33"/>
  </w:num>
  <w:num w:numId="32">
    <w:abstractNumId w:val="20"/>
  </w:num>
  <w:num w:numId="33">
    <w:abstractNumId w:val="22"/>
  </w:num>
  <w:num w:numId="34">
    <w:abstractNumId w:val="39"/>
  </w:num>
  <w:num w:numId="35">
    <w:abstractNumId w:val="24"/>
  </w:num>
  <w:num w:numId="36">
    <w:abstractNumId w:val="27"/>
  </w:num>
  <w:num w:numId="37">
    <w:abstractNumId w:val="23"/>
  </w:num>
  <w:num w:numId="38">
    <w:abstractNumId w:val="21"/>
  </w:num>
  <w:num w:numId="39">
    <w:abstractNumId w:val="28"/>
  </w:num>
  <w:num w:numId="40">
    <w:abstractNumId w:val="2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isplayBackgroundShape/>
  <w:embedSystemFonts/>
  <w:attachedTemplate r:id="rId1"/>
  <w:revisionView w:inkAnnotations="0"/>
  <w:defaultTabStop w:val="720"/>
  <w:drawingGridHorizontalSpacing w:val="120"/>
  <w:drawingGridVerticalSpacing w:val="360"/>
  <w:displayHorizontalDrawingGridEvery w:val="0"/>
  <w:displayVerticalDrawingGridEvery w:val="0"/>
  <w:characterSpacingControl w:val="doNotCompress"/>
  <w:hdrShapeDefaults>
    <o:shapedefaults v:ext="edit" spidmax="6145">
      <o:colormru v:ext="edit" colors="#d31145,#fffddf,#ffec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764"/>
    <w:rsid w:val="0000008E"/>
    <w:rsid w:val="00000CB1"/>
    <w:rsid w:val="00002B14"/>
    <w:rsid w:val="0000388E"/>
    <w:rsid w:val="00005501"/>
    <w:rsid w:val="000112C8"/>
    <w:rsid w:val="0001341B"/>
    <w:rsid w:val="0002009B"/>
    <w:rsid w:val="000205B8"/>
    <w:rsid w:val="0002209D"/>
    <w:rsid w:val="00025819"/>
    <w:rsid w:val="00026664"/>
    <w:rsid w:val="00044FF2"/>
    <w:rsid w:val="0004609F"/>
    <w:rsid w:val="00052490"/>
    <w:rsid w:val="00054C03"/>
    <w:rsid w:val="000561EF"/>
    <w:rsid w:val="00057B51"/>
    <w:rsid w:val="000701AB"/>
    <w:rsid w:val="0007606B"/>
    <w:rsid w:val="0008047C"/>
    <w:rsid w:val="00081179"/>
    <w:rsid w:val="00081E12"/>
    <w:rsid w:val="00083512"/>
    <w:rsid w:val="0008360D"/>
    <w:rsid w:val="00085091"/>
    <w:rsid w:val="00092756"/>
    <w:rsid w:val="0009438D"/>
    <w:rsid w:val="00094919"/>
    <w:rsid w:val="000977EC"/>
    <w:rsid w:val="000A1E1B"/>
    <w:rsid w:val="000A339D"/>
    <w:rsid w:val="000A3809"/>
    <w:rsid w:val="000A3BD2"/>
    <w:rsid w:val="000A3FA6"/>
    <w:rsid w:val="000A4253"/>
    <w:rsid w:val="000A5B83"/>
    <w:rsid w:val="000A778B"/>
    <w:rsid w:val="000B11F8"/>
    <w:rsid w:val="000B1B4D"/>
    <w:rsid w:val="000B1C91"/>
    <w:rsid w:val="000B29E0"/>
    <w:rsid w:val="000B5277"/>
    <w:rsid w:val="000B6397"/>
    <w:rsid w:val="000B6F0F"/>
    <w:rsid w:val="000C35EE"/>
    <w:rsid w:val="000C5639"/>
    <w:rsid w:val="000C58C2"/>
    <w:rsid w:val="000D0679"/>
    <w:rsid w:val="000D15C8"/>
    <w:rsid w:val="000D1F39"/>
    <w:rsid w:val="000D2A7F"/>
    <w:rsid w:val="000D3601"/>
    <w:rsid w:val="000D4309"/>
    <w:rsid w:val="000D4BF2"/>
    <w:rsid w:val="000E00B0"/>
    <w:rsid w:val="000E02B4"/>
    <w:rsid w:val="000E136B"/>
    <w:rsid w:val="000E333A"/>
    <w:rsid w:val="000E4831"/>
    <w:rsid w:val="000E7CA1"/>
    <w:rsid w:val="000F0210"/>
    <w:rsid w:val="000F0E5F"/>
    <w:rsid w:val="000F14B4"/>
    <w:rsid w:val="000F2763"/>
    <w:rsid w:val="000F2931"/>
    <w:rsid w:val="000F38C5"/>
    <w:rsid w:val="000F5B37"/>
    <w:rsid w:val="000F5D50"/>
    <w:rsid w:val="000F748D"/>
    <w:rsid w:val="001001D6"/>
    <w:rsid w:val="00107954"/>
    <w:rsid w:val="00112647"/>
    <w:rsid w:val="00112B05"/>
    <w:rsid w:val="00116F50"/>
    <w:rsid w:val="00120778"/>
    <w:rsid w:val="00121597"/>
    <w:rsid w:val="00122E8D"/>
    <w:rsid w:val="001230E2"/>
    <w:rsid w:val="00124613"/>
    <w:rsid w:val="001248E1"/>
    <w:rsid w:val="00124FDC"/>
    <w:rsid w:val="001300FC"/>
    <w:rsid w:val="0013075A"/>
    <w:rsid w:val="00130AB3"/>
    <w:rsid w:val="001314AB"/>
    <w:rsid w:val="001318F2"/>
    <w:rsid w:val="00132416"/>
    <w:rsid w:val="00132CCA"/>
    <w:rsid w:val="001362D3"/>
    <w:rsid w:val="0013756B"/>
    <w:rsid w:val="00142E26"/>
    <w:rsid w:val="00145395"/>
    <w:rsid w:val="00145C7C"/>
    <w:rsid w:val="00147C02"/>
    <w:rsid w:val="00147CFE"/>
    <w:rsid w:val="0015063B"/>
    <w:rsid w:val="0015133E"/>
    <w:rsid w:val="00151735"/>
    <w:rsid w:val="00153BDE"/>
    <w:rsid w:val="001547F8"/>
    <w:rsid w:val="00154FFB"/>
    <w:rsid w:val="001562D2"/>
    <w:rsid w:val="00157938"/>
    <w:rsid w:val="00157DE1"/>
    <w:rsid w:val="0016157E"/>
    <w:rsid w:val="00161767"/>
    <w:rsid w:val="00161C22"/>
    <w:rsid w:val="00165163"/>
    <w:rsid w:val="00172D71"/>
    <w:rsid w:val="00174280"/>
    <w:rsid w:val="00175707"/>
    <w:rsid w:val="001760F2"/>
    <w:rsid w:val="0017632B"/>
    <w:rsid w:val="00176F2E"/>
    <w:rsid w:val="0018449A"/>
    <w:rsid w:val="00185694"/>
    <w:rsid w:val="001873E0"/>
    <w:rsid w:val="00187489"/>
    <w:rsid w:val="001970A0"/>
    <w:rsid w:val="001A134C"/>
    <w:rsid w:val="001A5E75"/>
    <w:rsid w:val="001B540F"/>
    <w:rsid w:val="001B5633"/>
    <w:rsid w:val="001B6014"/>
    <w:rsid w:val="001C1BD1"/>
    <w:rsid w:val="001C1C6F"/>
    <w:rsid w:val="001C411B"/>
    <w:rsid w:val="001C5326"/>
    <w:rsid w:val="001C5E7F"/>
    <w:rsid w:val="001C6F48"/>
    <w:rsid w:val="001D163E"/>
    <w:rsid w:val="001D24BD"/>
    <w:rsid w:val="001D39F6"/>
    <w:rsid w:val="001D538C"/>
    <w:rsid w:val="001D5EAF"/>
    <w:rsid w:val="001D6C4E"/>
    <w:rsid w:val="001E22B3"/>
    <w:rsid w:val="001E3125"/>
    <w:rsid w:val="001E417F"/>
    <w:rsid w:val="001E6005"/>
    <w:rsid w:val="001E61E6"/>
    <w:rsid w:val="001E7EF0"/>
    <w:rsid w:val="001F0AA6"/>
    <w:rsid w:val="001F0E9A"/>
    <w:rsid w:val="001F25A1"/>
    <w:rsid w:val="00210D52"/>
    <w:rsid w:val="0021392C"/>
    <w:rsid w:val="00214801"/>
    <w:rsid w:val="00215E5F"/>
    <w:rsid w:val="00220D0A"/>
    <w:rsid w:val="00220E9B"/>
    <w:rsid w:val="00222D1E"/>
    <w:rsid w:val="0022383E"/>
    <w:rsid w:val="002267A3"/>
    <w:rsid w:val="00227E9E"/>
    <w:rsid w:val="0023427F"/>
    <w:rsid w:val="002345FB"/>
    <w:rsid w:val="002346A0"/>
    <w:rsid w:val="00237443"/>
    <w:rsid w:val="00244522"/>
    <w:rsid w:val="00247D4E"/>
    <w:rsid w:val="00253113"/>
    <w:rsid w:val="00257164"/>
    <w:rsid w:val="002578B8"/>
    <w:rsid w:val="00261225"/>
    <w:rsid w:val="00263676"/>
    <w:rsid w:val="00263DFF"/>
    <w:rsid w:val="0026678D"/>
    <w:rsid w:val="00267A41"/>
    <w:rsid w:val="00267E3B"/>
    <w:rsid w:val="00267F8F"/>
    <w:rsid w:val="00271E25"/>
    <w:rsid w:val="0027221E"/>
    <w:rsid w:val="00275B89"/>
    <w:rsid w:val="002767E5"/>
    <w:rsid w:val="00277A04"/>
    <w:rsid w:val="00280302"/>
    <w:rsid w:val="00281DD8"/>
    <w:rsid w:val="002822BA"/>
    <w:rsid w:val="00283C71"/>
    <w:rsid w:val="00283C75"/>
    <w:rsid w:val="00290320"/>
    <w:rsid w:val="00290F56"/>
    <w:rsid w:val="002918E8"/>
    <w:rsid w:val="00291D41"/>
    <w:rsid w:val="002928DB"/>
    <w:rsid w:val="002A0203"/>
    <w:rsid w:val="002A03A8"/>
    <w:rsid w:val="002A18D1"/>
    <w:rsid w:val="002A1E91"/>
    <w:rsid w:val="002A2C0D"/>
    <w:rsid w:val="002A3292"/>
    <w:rsid w:val="002A351D"/>
    <w:rsid w:val="002A501C"/>
    <w:rsid w:val="002A6DE2"/>
    <w:rsid w:val="002A77D7"/>
    <w:rsid w:val="002B35AA"/>
    <w:rsid w:val="002B3977"/>
    <w:rsid w:val="002B6FC4"/>
    <w:rsid w:val="002C16D3"/>
    <w:rsid w:val="002C3796"/>
    <w:rsid w:val="002C4196"/>
    <w:rsid w:val="002C5356"/>
    <w:rsid w:val="002C5C9D"/>
    <w:rsid w:val="002D1058"/>
    <w:rsid w:val="002D3AFF"/>
    <w:rsid w:val="002D5781"/>
    <w:rsid w:val="002D6267"/>
    <w:rsid w:val="002D637D"/>
    <w:rsid w:val="002D71FE"/>
    <w:rsid w:val="002D7921"/>
    <w:rsid w:val="002E0CED"/>
    <w:rsid w:val="002E3569"/>
    <w:rsid w:val="002E4007"/>
    <w:rsid w:val="002E4EFF"/>
    <w:rsid w:val="002E4FB1"/>
    <w:rsid w:val="002E5340"/>
    <w:rsid w:val="002E5C88"/>
    <w:rsid w:val="002E66B7"/>
    <w:rsid w:val="002F30B9"/>
    <w:rsid w:val="002F3210"/>
    <w:rsid w:val="002F4AF1"/>
    <w:rsid w:val="002F60DB"/>
    <w:rsid w:val="003006E7"/>
    <w:rsid w:val="00300C68"/>
    <w:rsid w:val="00302718"/>
    <w:rsid w:val="003059E8"/>
    <w:rsid w:val="0031004E"/>
    <w:rsid w:val="003135E1"/>
    <w:rsid w:val="00313657"/>
    <w:rsid w:val="00321030"/>
    <w:rsid w:val="003218D4"/>
    <w:rsid w:val="003219F2"/>
    <w:rsid w:val="0032276D"/>
    <w:rsid w:val="0032298A"/>
    <w:rsid w:val="00325446"/>
    <w:rsid w:val="00325CF6"/>
    <w:rsid w:val="00326867"/>
    <w:rsid w:val="00327570"/>
    <w:rsid w:val="003321F2"/>
    <w:rsid w:val="00333713"/>
    <w:rsid w:val="003348C9"/>
    <w:rsid w:val="003350AF"/>
    <w:rsid w:val="00340774"/>
    <w:rsid w:val="003416CE"/>
    <w:rsid w:val="00350F56"/>
    <w:rsid w:val="00352C6F"/>
    <w:rsid w:val="00354E70"/>
    <w:rsid w:val="003626CB"/>
    <w:rsid w:val="00363A3A"/>
    <w:rsid w:val="00364241"/>
    <w:rsid w:val="00365825"/>
    <w:rsid w:val="0036630C"/>
    <w:rsid w:val="00366317"/>
    <w:rsid w:val="0037393E"/>
    <w:rsid w:val="0037783F"/>
    <w:rsid w:val="003811B1"/>
    <w:rsid w:val="00386B6C"/>
    <w:rsid w:val="00387042"/>
    <w:rsid w:val="003875B6"/>
    <w:rsid w:val="00394975"/>
    <w:rsid w:val="00394BBA"/>
    <w:rsid w:val="0039786E"/>
    <w:rsid w:val="003A3409"/>
    <w:rsid w:val="003A55F8"/>
    <w:rsid w:val="003A62CB"/>
    <w:rsid w:val="003A7DCB"/>
    <w:rsid w:val="003B0C73"/>
    <w:rsid w:val="003B38A7"/>
    <w:rsid w:val="003B634F"/>
    <w:rsid w:val="003B6681"/>
    <w:rsid w:val="003B77BD"/>
    <w:rsid w:val="003C5D0D"/>
    <w:rsid w:val="003C795B"/>
    <w:rsid w:val="003D1166"/>
    <w:rsid w:val="003D2899"/>
    <w:rsid w:val="003D3C68"/>
    <w:rsid w:val="003D42C6"/>
    <w:rsid w:val="003D58F1"/>
    <w:rsid w:val="003E0C9F"/>
    <w:rsid w:val="003E0CB1"/>
    <w:rsid w:val="003E1CEE"/>
    <w:rsid w:val="003E3D87"/>
    <w:rsid w:val="003E4C50"/>
    <w:rsid w:val="003E4C70"/>
    <w:rsid w:val="003E4EB1"/>
    <w:rsid w:val="003E65E1"/>
    <w:rsid w:val="003E743D"/>
    <w:rsid w:val="003F0E62"/>
    <w:rsid w:val="003F3017"/>
    <w:rsid w:val="003F3DE3"/>
    <w:rsid w:val="003F55B6"/>
    <w:rsid w:val="00405273"/>
    <w:rsid w:val="004052D8"/>
    <w:rsid w:val="00405959"/>
    <w:rsid w:val="00415606"/>
    <w:rsid w:val="00417431"/>
    <w:rsid w:val="00421596"/>
    <w:rsid w:val="00424E57"/>
    <w:rsid w:val="0042503D"/>
    <w:rsid w:val="00425781"/>
    <w:rsid w:val="00425962"/>
    <w:rsid w:val="004323C2"/>
    <w:rsid w:val="00433AA1"/>
    <w:rsid w:val="00442270"/>
    <w:rsid w:val="00447F80"/>
    <w:rsid w:val="00451501"/>
    <w:rsid w:val="00451CE6"/>
    <w:rsid w:val="004528D6"/>
    <w:rsid w:val="004533FD"/>
    <w:rsid w:val="00456350"/>
    <w:rsid w:val="00460B9A"/>
    <w:rsid w:val="004671DA"/>
    <w:rsid w:val="004672AC"/>
    <w:rsid w:val="00470902"/>
    <w:rsid w:val="00472A0F"/>
    <w:rsid w:val="0047302F"/>
    <w:rsid w:val="00481AD1"/>
    <w:rsid w:val="00487350"/>
    <w:rsid w:val="00490507"/>
    <w:rsid w:val="00490CAD"/>
    <w:rsid w:val="00491E29"/>
    <w:rsid w:val="004961BB"/>
    <w:rsid w:val="004979E1"/>
    <w:rsid w:val="004A07B6"/>
    <w:rsid w:val="004A0B8B"/>
    <w:rsid w:val="004A36BC"/>
    <w:rsid w:val="004A4F18"/>
    <w:rsid w:val="004A6CE9"/>
    <w:rsid w:val="004B15F0"/>
    <w:rsid w:val="004B4F4F"/>
    <w:rsid w:val="004B573E"/>
    <w:rsid w:val="004C1C4D"/>
    <w:rsid w:val="004C22BB"/>
    <w:rsid w:val="004C2626"/>
    <w:rsid w:val="004C283F"/>
    <w:rsid w:val="004C4208"/>
    <w:rsid w:val="004C6D02"/>
    <w:rsid w:val="004D07A3"/>
    <w:rsid w:val="004D0F2F"/>
    <w:rsid w:val="004E3868"/>
    <w:rsid w:val="004E3926"/>
    <w:rsid w:val="004F243C"/>
    <w:rsid w:val="004F4F4A"/>
    <w:rsid w:val="004F589C"/>
    <w:rsid w:val="004F7221"/>
    <w:rsid w:val="004F793C"/>
    <w:rsid w:val="005001EC"/>
    <w:rsid w:val="005059F8"/>
    <w:rsid w:val="005107F5"/>
    <w:rsid w:val="00510A25"/>
    <w:rsid w:val="00511019"/>
    <w:rsid w:val="00511F5D"/>
    <w:rsid w:val="00513A7A"/>
    <w:rsid w:val="005149F9"/>
    <w:rsid w:val="00516099"/>
    <w:rsid w:val="0051670A"/>
    <w:rsid w:val="00516FCA"/>
    <w:rsid w:val="00520EBD"/>
    <w:rsid w:val="00522CA2"/>
    <w:rsid w:val="00522DCF"/>
    <w:rsid w:val="00530305"/>
    <w:rsid w:val="00531A89"/>
    <w:rsid w:val="00531F2A"/>
    <w:rsid w:val="005331E8"/>
    <w:rsid w:val="00533982"/>
    <w:rsid w:val="00534553"/>
    <w:rsid w:val="005360E5"/>
    <w:rsid w:val="005361A2"/>
    <w:rsid w:val="005406C3"/>
    <w:rsid w:val="0054261B"/>
    <w:rsid w:val="0054272A"/>
    <w:rsid w:val="00544AD0"/>
    <w:rsid w:val="0054686B"/>
    <w:rsid w:val="00546ED7"/>
    <w:rsid w:val="005478AD"/>
    <w:rsid w:val="00547A3D"/>
    <w:rsid w:val="00552F96"/>
    <w:rsid w:val="00553EFD"/>
    <w:rsid w:val="00554019"/>
    <w:rsid w:val="005602EE"/>
    <w:rsid w:val="00560829"/>
    <w:rsid w:val="00561177"/>
    <w:rsid w:val="00562427"/>
    <w:rsid w:val="005652C1"/>
    <w:rsid w:val="00565DF7"/>
    <w:rsid w:val="005672F2"/>
    <w:rsid w:val="00570089"/>
    <w:rsid w:val="005703D9"/>
    <w:rsid w:val="00571113"/>
    <w:rsid w:val="005734D4"/>
    <w:rsid w:val="005802F2"/>
    <w:rsid w:val="00580887"/>
    <w:rsid w:val="005826BB"/>
    <w:rsid w:val="005837F4"/>
    <w:rsid w:val="0059034F"/>
    <w:rsid w:val="00591F1A"/>
    <w:rsid w:val="00592591"/>
    <w:rsid w:val="00594064"/>
    <w:rsid w:val="00594228"/>
    <w:rsid w:val="005A330B"/>
    <w:rsid w:val="005A3514"/>
    <w:rsid w:val="005A4493"/>
    <w:rsid w:val="005A536F"/>
    <w:rsid w:val="005A6BE8"/>
    <w:rsid w:val="005B458D"/>
    <w:rsid w:val="005B483D"/>
    <w:rsid w:val="005B5AD5"/>
    <w:rsid w:val="005C11B6"/>
    <w:rsid w:val="005C14AC"/>
    <w:rsid w:val="005C38AB"/>
    <w:rsid w:val="005C4C7C"/>
    <w:rsid w:val="005C5693"/>
    <w:rsid w:val="005D5DD6"/>
    <w:rsid w:val="005D7DDA"/>
    <w:rsid w:val="005E2B30"/>
    <w:rsid w:val="005E3610"/>
    <w:rsid w:val="005E6D70"/>
    <w:rsid w:val="005F0649"/>
    <w:rsid w:val="005F0A9A"/>
    <w:rsid w:val="00601EEA"/>
    <w:rsid w:val="00602D56"/>
    <w:rsid w:val="006031E5"/>
    <w:rsid w:val="00604170"/>
    <w:rsid w:val="006109CF"/>
    <w:rsid w:val="0061106D"/>
    <w:rsid w:val="00611480"/>
    <w:rsid w:val="006201ED"/>
    <w:rsid w:val="006208E7"/>
    <w:rsid w:val="0062134E"/>
    <w:rsid w:val="00622095"/>
    <w:rsid w:val="006226CB"/>
    <w:rsid w:val="00631B3A"/>
    <w:rsid w:val="0063358D"/>
    <w:rsid w:val="006377F0"/>
    <w:rsid w:val="00637DDF"/>
    <w:rsid w:val="00641054"/>
    <w:rsid w:val="006411E8"/>
    <w:rsid w:val="00641CBE"/>
    <w:rsid w:val="00642CD8"/>
    <w:rsid w:val="00646B63"/>
    <w:rsid w:val="00650336"/>
    <w:rsid w:val="00652817"/>
    <w:rsid w:val="00654564"/>
    <w:rsid w:val="006549D3"/>
    <w:rsid w:val="00656055"/>
    <w:rsid w:val="00656D23"/>
    <w:rsid w:val="006573DF"/>
    <w:rsid w:val="00657E34"/>
    <w:rsid w:val="00663E2A"/>
    <w:rsid w:val="00667914"/>
    <w:rsid w:val="00671323"/>
    <w:rsid w:val="00675165"/>
    <w:rsid w:val="00675B77"/>
    <w:rsid w:val="006803D3"/>
    <w:rsid w:val="006839B7"/>
    <w:rsid w:val="00684B24"/>
    <w:rsid w:val="00690753"/>
    <w:rsid w:val="00692DD4"/>
    <w:rsid w:val="00696A7C"/>
    <w:rsid w:val="00696E0F"/>
    <w:rsid w:val="00697D1D"/>
    <w:rsid w:val="006A3CC4"/>
    <w:rsid w:val="006A4027"/>
    <w:rsid w:val="006A449F"/>
    <w:rsid w:val="006A567C"/>
    <w:rsid w:val="006A7810"/>
    <w:rsid w:val="006B1F53"/>
    <w:rsid w:val="006B21CE"/>
    <w:rsid w:val="006B42B3"/>
    <w:rsid w:val="006B5FEB"/>
    <w:rsid w:val="006B73CA"/>
    <w:rsid w:val="006C210D"/>
    <w:rsid w:val="006C4F7E"/>
    <w:rsid w:val="006C7317"/>
    <w:rsid w:val="006C7B81"/>
    <w:rsid w:val="006D4231"/>
    <w:rsid w:val="006D59AC"/>
    <w:rsid w:val="006D5E1C"/>
    <w:rsid w:val="006D7BB1"/>
    <w:rsid w:val="006E0B5B"/>
    <w:rsid w:val="006E1B1E"/>
    <w:rsid w:val="006E1B23"/>
    <w:rsid w:val="006E286D"/>
    <w:rsid w:val="006E2DAF"/>
    <w:rsid w:val="006E349B"/>
    <w:rsid w:val="006F4002"/>
    <w:rsid w:val="006F5DAD"/>
    <w:rsid w:val="0070208A"/>
    <w:rsid w:val="0070294D"/>
    <w:rsid w:val="00707422"/>
    <w:rsid w:val="0071029A"/>
    <w:rsid w:val="00710F67"/>
    <w:rsid w:val="00716937"/>
    <w:rsid w:val="00717052"/>
    <w:rsid w:val="00717060"/>
    <w:rsid w:val="0072192C"/>
    <w:rsid w:val="007234A8"/>
    <w:rsid w:val="00724DE9"/>
    <w:rsid w:val="00726750"/>
    <w:rsid w:val="00726DF8"/>
    <w:rsid w:val="00730B2B"/>
    <w:rsid w:val="00732D70"/>
    <w:rsid w:val="00736579"/>
    <w:rsid w:val="00737491"/>
    <w:rsid w:val="007423F7"/>
    <w:rsid w:val="00744ED3"/>
    <w:rsid w:val="00745B0F"/>
    <w:rsid w:val="007468E3"/>
    <w:rsid w:val="00753FFD"/>
    <w:rsid w:val="00760CD7"/>
    <w:rsid w:val="0076207A"/>
    <w:rsid w:val="00770A24"/>
    <w:rsid w:val="00770CBB"/>
    <w:rsid w:val="007712F3"/>
    <w:rsid w:val="00772764"/>
    <w:rsid w:val="0077327C"/>
    <w:rsid w:val="0077399D"/>
    <w:rsid w:val="00782BD5"/>
    <w:rsid w:val="00784105"/>
    <w:rsid w:val="00784BFA"/>
    <w:rsid w:val="00785E83"/>
    <w:rsid w:val="007871E4"/>
    <w:rsid w:val="00787EDF"/>
    <w:rsid w:val="00795732"/>
    <w:rsid w:val="00797100"/>
    <w:rsid w:val="007A0FF7"/>
    <w:rsid w:val="007A3EA8"/>
    <w:rsid w:val="007A5DF9"/>
    <w:rsid w:val="007A796C"/>
    <w:rsid w:val="007A7D0A"/>
    <w:rsid w:val="007A7DEC"/>
    <w:rsid w:val="007B3106"/>
    <w:rsid w:val="007B5C1B"/>
    <w:rsid w:val="007B6838"/>
    <w:rsid w:val="007C126F"/>
    <w:rsid w:val="007C2D50"/>
    <w:rsid w:val="007C580E"/>
    <w:rsid w:val="007D3783"/>
    <w:rsid w:val="007D74EE"/>
    <w:rsid w:val="007E1CBA"/>
    <w:rsid w:val="007E1FED"/>
    <w:rsid w:val="007E778D"/>
    <w:rsid w:val="007F0E6B"/>
    <w:rsid w:val="007F0F0E"/>
    <w:rsid w:val="007F158D"/>
    <w:rsid w:val="007F3C40"/>
    <w:rsid w:val="007F4E7D"/>
    <w:rsid w:val="007F6AD0"/>
    <w:rsid w:val="007F74D2"/>
    <w:rsid w:val="00800270"/>
    <w:rsid w:val="00802E4B"/>
    <w:rsid w:val="00806CFD"/>
    <w:rsid w:val="00807CBD"/>
    <w:rsid w:val="00811B44"/>
    <w:rsid w:val="00813CEC"/>
    <w:rsid w:val="00814750"/>
    <w:rsid w:val="00814E3B"/>
    <w:rsid w:val="00817D25"/>
    <w:rsid w:val="0082179E"/>
    <w:rsid w:val="00821C3E"/>
    <w:rsid w:val="008226A3"/>
    <w:rsid w:val="00831048"/>
    <w:rsid w:val="008321DE"/>
    <w:rsid w:val="008323A6"/>
    <w:rsid w:val="008334E2"/>
    <w:rsid w:val="00835168"/>
    <w:rsid w:val="00835636"/>
    <w:rsid w:val="00836C7F"/>
    <w:rsid w:val="00841E4A"/>
    <w:rsid w:val="00843752"/>
    <w:rsid w:val="00843FA3"/>
    <w:rsid w:val="008441C9"/>
    <w:rsid w:val="00846066"/>
    <w:rsid w:val="00846AEA"/>
    <w:rsid w:val="00846DAF"/>
    <w:rsid w:val="00850008"/>
    <w:rsid w:val="00853B6D"/>
    <w:rsid w:val="008544A3"/>
    <w:rsid w:val="008566C1"/>
    <w:rsid w:val="008572A8"/>
    <w:rsid w:val="00867701"/>
    <w:rsid w:val="008707EB"/>
    <w:rsid w:val="008709D1"/>
    <w:rsid w:val="00871AAD"/>
    <w:rsid w:val="00874FCD"/>
    <w:rsid w:val="00877C4D"/>
    <w:rsid w:val="00880E51"/>
    <w:rsid w:val="0088444B"/>
    <w:rsid w:val="00884BA7"/>
    <w:rsid w:val="00885F34"/>
    <w:rsid w:val="00886A5B"/>
    <w:rsid w:val="00886C3A"/>
    <w:rsid w:val="00887C6E"/>
    <w:rsid w:val="00892B1C"/>
    <w:rsid w:val="0089452B"/>
    <w:rsid w:val="008A1F5D"/>
    <w:rsid w:val="008A2F38"/>
    <w:rsid w:val="008A301D"/>
    <w:rsid w:val="008A426C"/>
    <w:rsid w:val="008A4F1C"/>
    <w:rsid w:val="008B105C"/>
    <w:rsid w:val="008B1FD7"/>
    <w:rsid w:val="008B43A1"/>
    <w:rsid w:val="008B4F66"/>
    <w:rsid w:val="008B516F"/>
    <w:rsid w:val="008B63B8"/>
    <w:rsid w:val="008C1706"/>
    <w:rsid w:val="008C21E6"/>
    <w:rsid w:val="008C31A8"/>
    <w:rsid w:val="008C335A"/>
    <w:rsid w:val="008C3748"/>
    <w:rsid w:val="008C4122"/>
    <w:rsid w:val="008C4E81"/>
    <w:rsid w:val="008C65BD"/>
    <w:rsid w:val="008C737B"/>
    <w:rsid w:val="008D321F"/>
    <w:rsid w:val="008D4B18"/>
    <w:rsid w:val="008D4FF6"/>
    <w:rsid w:val="008D5152"/>
    <w:rsid w:val="008D6E36"/>
    <w:rsid w:val="008D6F3B"/>
    <w:rsid w:val="008E0C08"/>
    <w:rsid w:val="008E11C5"/>
    <w:rsid w:val="008E50BB"/>
    <w:rsid w:val="008E5502"/>
    <w:rsid w:val="008E6668"/>
    <w:rsid w:val="008E697B"/>
    <w:rsid w:val="008F279B"/>
    <w:rsid w:val="008F44ED"/>
    <w:rsid w:val="008F4954"/>
    <w:rsid w:val="008F6EFB"/>
    <w:rsid w:val="00900BA3"/>
    <w:rsid w:val="00901237"/>
    <w:rsid w:val="009028CB"/>
    <w:rsid w:val="00902AC0"/>
    <w:rsid w:val="00903111"/>
    <w:rsid w:val="00910863"/>
    <w:rsid w:val="0091448B"/>
    <w:rsid w:val="00914EC4"/>
    <w:rsid w:val="00915BF8"/>
    <w:rsid w:val="00917036"/>
    <w:rsid w:val="00920951"/>
    <w:rsid w:val="00920B7D"/>
    <w:rsid w:val="00920F5E"/>
    <w:rsid w:val="009215EC"/>
    <w:rsid w:val="0092413A"/>
    <w:rsid w:val="009242B9"/>
    <w:rsid w:val="00925B14"/>
    <w:rsid w:val="00926AF1"/>
    <w:rsid w:val="0092715A"/>
    <w:rsid w:val="00932A59"/>
    <w:rsid w:val="00932C3B"/>
    <w:rsid w:val="009337DD"/>
    <w:rsid w:val="009343D3"/>
    <w:rsid w:val="00934781"/>
    <w:rsid w:val="00937409"/>
    <w:rsid w:val="00937EE0"/>
    <w:rsid w:val="00942AF1"/>
    <w:rsid w:val="00942BC2"/>
    <w:rsid w:val="00944389"/>
    <w:rsid w:val="009459FC"/>
    <w:rsid w:val="00945A94"/>
    <w:rsid w:val="00947954"/>
    <w:rsid w:val="00947B62"/>
    <w:rsid w:val="00954499"/>
    <w:rsid w:val="00954D99"/>
    <w:rsid w:val="009554C0"/>
    <w:rsid w:val="00956265"/>
    <w:rsid w:val="00956464"/>
    <w:rsid w:val="00957BD8"/>
    <w:rsid w:val="00961639"/>
    <w:rsid w:val="00962629"/>
    <w:rsid w:val="009632D9"/>
    <w:rsid w:val="0096401E"/>
    <w:rsid w:val="009652E6"/>
    <w:rsid w:val="009677B6"/>
    <w:rsid w:val="00967ED5"/>
    <w:rsid w:val="00971041"/>
    <w:rsid w:val="00980C35"/>
    <w:rsid w:val="009837B1"/>
    <w:rsid w:val="00991C0D"/>
    <w:rsid w:val="00994E2D"/>
    <w:rsid w:val="00996E68"/>
    <w:rsid w:val="009974F8"/>
    <w:rsid w:val="009A0181"/>
    <w:rsid w:val="009A0AA5"/>
    <w:rsid w:val="009A1BDA"/>
    <w:rsid w:val="009A2CC4"/>
    <w:rsid w:val="009A45BC"/>
    <w:rsid w:val="009A49D9"/>
    <w:rsid w:val="009A75A9"/>
    <w:rsid w:val="009B36E3"/>
    <w:rsid w:val="009B4D52"/>
    <w:rsid w:val="009C0024"/>
    <w:rsid w:val="009C0A9F"/>
    <w:rsid w:val="009C1250"/>
    <w:rsid w:val="009C183C"/>
    <w:rsid w:val="009C33F5"/>
    <w:rsid w:val="009C449A"/>
    <w:rsid w:val="009C4C42"/>
    <w:rsid w:val="009C5341"/>
    <w:rsid w:val="009C760E"/>
    <w:rsid w:val="009D070D"/>
    <w:rsid w:val="009D306C"/>
    <w:rsid w:val="009D4341"/>
    <w:rsid w:val="009D634A"/>
    <w:rsid w:val="009D6A96"/>
    <w:rsid w:val="009D6EAC"/>
    <w:rsid w:val="009D78DE"/>
    <w:rsid w:val="009E0066"/>
    <w:rsid w:val="009E21B7"/>
    <w:rsid w:val="009E6314"/>
    <w:rsid w:val="009E65C2"/>
    <w:rsid w:val="009E7327"/>
    <w:rsid w:val="009E7619"/>
    <w:rsid w:val="009F0D0F"/>
    <w:rsid w:val="009F1B86"/>
    <w:rsid w:val="009F4CEB"/>
    <w:rsid w:val="009F6553"/>
    <w:rsid w:val="009F6B07"/>
    <w:rsid w:val="00A00174"/>
    <w:rsid w:val="00A011FA"/>
    <w:rsid w:val="00A01F63"/>
    <w:rsid w:val="00A0563B"/>
    <w:rsid w:val="00A07590"/>
    <w:rsid w:val="00A07B04"/>
    <w:rsid w:val="00A11EA0"/>
    <w:rsid w:val="00A122E8"/>
    <w:rsid w:val="00A130FF"/>
    <w:rsid w:val="00A13281"/>
    <w:rsid w:val="00A14832"/>
    <w:rsid w:val="00A20D93"/>
    <w:rsid w:val="00A21BFB"/>
    <w:rsid w:val="00A24149"/>
    <w:rsid w:val="00A25EDE"/>
    <w:rsid w:val="00A26ED3"/>
    <w:rsid w:val="00A307B2"/>
    <w:rsid w:val="00A3080D"/>
    <w:rsid w:val="00A32770"/>
    <w:rsid w:val="00A33695"/>
    <w:rsid w:val="00A33840"/>
    <w:rsid w:val="00A33DBA"/>
    <w:rsid w:val="00A408EA"/>
    <w:rsid w:val="00A409DD"/>
    <w:rsid w:val="00A43A8C"/>
    <w:rsid w:val="00A47E62"/>
    <w:rsid w:val="00A50D4E"/>
    <w:rsid w:val="00A5127C"/>
    <w:rsid w:val="00A55927"/>
    <w:rsid w:val="00A56F0B"/>
    <w:rsid w:val="00A62A44"/>
    <w:rsid w:val="00A63984"/>
    <w:rsid w:val="00A64688"/>
    <w:rsid w:val="00A64CC1"/>
    <w:rsid w:val="00A67398"/>
    <w:rsid w:val="00A71014"/>
    <w:rsid w:val="00A71B89"/>
    <w:rsid w:val="00A7307E"/>
    <w:rsid w:val="00A742E7"/>
    <w:rsid w:val="00A75E7D"/>
    <w:rsid w:val="00A76229"/>
    <w:rsid w:val="00A80EC4"/>
    <w:rsid w:val="00A814A4"/>
    <w:rsid w:val="00A834FF"/>
    <w:rsid w:val="00A850B0"/>
    <w:rsid w:val="00A8727C"/>
    <w:rsid w:val="00A87D18"/>
    <w:rsid w:val="00A913E7"/>
    <w:rsid w:val="00A9462E"/>
    <w:rsid w:val="00A95E6D"/>
    <w:rsid w:val="00AA0728"/>
    <w:rsid w:val="00AA3323"/>
    <w:rsid w:val="00AA76AE"/>
    <w:rsid w:val="00AB0570"/>
    <w:rsid w:val="00AB0E9A"/>
    <w:rsid w:val="00AB1B90"/>
    <w:rsid w:val="00AB4059"/>
    <w:rsid w:val="00AB4388"/>
    <w:rsid w:val="00AB5928"/>
    <w:rsid w:val="00AB5CBE"/>
    <w:rsid w:val="00AC08F6"/>
    <w:rsid w:val="00AC0E9B"/>
    <w:rsid w:val="00AC24DC"/>
    <w:rsid w:val="00AC2986"/>
    <w:rsid w:val="00AC2E98"/>
    <w:rsid w:val="00AC729D"/>
    <w:rsid w:val="00AD491B"/>
    <w:rsid w:val="00AE00F7"/>
    <w:rsid w:val="00AE1BFE"/>
    <w:rsid w:val="00AE216F"/>
    <w:rsid w:val="00AE22F5"/>
    <w:rsid w:val="00AE3ED1"/>
    <w:rsid w:val="00AE476B"/>
    <w:rsid w:val="00AE50AD"/>
    <w:rsid w:val="00AE6843"/>
    <w:rsid w:val="00AF11D7"/>
    <w:rsid w:val="00AF5B56"/>
    <w:rsid w:val="00B0026F"/>
    <w:rsid w:val="00B02031"/>
    <w:rsid w:val="00B02322"/>
    <w:rsid w:val="00B028EF"/>
    <w:rsid w:val="00B06F0A"/>
    <w:rsid w:val="00B10F0A"/>
    <w:rsid w:val="00B13675"/>
    <w:rsid w:val="00B14367"/>
    <w:rsid w:val="00B17C06"/>
    <w:rsid w:val="00B21BF4"/>
    <w:rsid w:val="00B236CE"/>
    <w:rsid w:val="00B34BEF"/>
    <w:rsid w:val="00B36058"/>
    <w:rsid w:val="00B406F6"/>
    <w:rsid w:val="00B42B6E"/>
    <w:rsid w:val="00B45707"/>
    <w:rsid w:val="00B4636D"/>
    <w:rsid w:val="00B53E16"/>
    <w:rsid w:val="00B5683E"/>
    <w:rsid w:val="00B56DD4"/>
    <w:rsid w:val="00B57979"/>
    <w:rsid w:val="00B57C56"/>
    <w:rsid w:val="00B57CAF"/>
    <w:rsid w:val="00B57F4C"/>
    <w:rsid w:val="00B6681B"/>
    <w:rsid w:val="00B71EC4"/>
    <w:rsid w:val="00B72437"/>
    <w:rsid w:val="00B72D38"/>
    <w:rsid w:val="00B73C02"/>
    <w:rsid w:val="00B74BCA"/>
    <w:rsid w:val="00B751C6"/>
    <w:rsid w:val="00B752F1"/>
    <w:rsid w:val="00B77473"/>
    <w:rsid w:val="00B801DA"/>
    <w:rsid w:val="00B81CF2"/>
    <w:rsid w:val="00B81DFC"/>
    <w:rsid w:val="00B83345"/>
    <w:rsid w:val="00B83EC5"/>
    <w:rsid w:val="00B90034"/>
    <w:rsid w:val="00B913A7"/>
    <w:rsid w:val="00B941A5"/>
    <w:rsid w:val="00B9555A"/>
    <w:rsid w:val="00BA017E"/>
    <w:rsid w:val="00BA0BBC"/>
    <w:rsid w:val="00BA613A"/>
    <w:rsid w:val="00BB23DE"/>
    <w:rsid w:val="00BB4615"/>
    <w:rsid w:val="00BC2003"/>
    <w:rsid w:val="00BC35EA"/>
    <w:rsid w:val="00BC3F45"/>
    <w:rsid w:val="00BC5A58"/>
    <w:rsid w:val="00BD1DB6"/>
    <w:rsid w:val="00BD3C60"/>
    <w:rsid w:val="00BD5ED1"/>
    <w:rsid w:val="00BD6097"/>
    <w:rsid w:val="00BD6692"/>
    <w:rsid w:val="00BE1183"/>
    <w:rsid w:val="00BE21CC"/>
    <w:rsid w:val="00BE3503"/>
    <w:rsid w:val="00BF09E5"/>
    <w:rsid w:val="00BF2D73"/>
    <w:rsid w:val="00BF3B3C"/>
    <w:rsid w:val="00BF4841"/>
    <w:rsid w:val="00BF5930"/>
    <w:rsid w:val="00C03BCA"/>
    <w:rsid w:val="00C05A82"/>
    <w:rsid w:val="00C10824"/>
    <w:rsid w:val="00C151AC"/>
    <w:rsid w:val="00C15316"/>
    <w:rsid w:val="00C15390"/>
    <w:rsid w:val="00C16288"/>
    <w:rsid w:val="00C1787A"/>
    <w:rsid w:val="00C25D17"/>
    <w:rsid w:val="00C26F63"/>
    <w:rsid w:val="00C27319"/>
    <w:rsid w:val="00C30A1A"/>
    <w:rsid w:val="00C34421"/>
    <w:rsid w:val="00C37EBE"/>
    <w:rsid w:val="00C4069A"/>
    <w:rsid w:val="00C428F9"/>
    <w:rsid w:val="00C43082"/>
    <w:rsid w:val="00C4517D"/>
    <w:rsid w:val="00C45AF1"/>
    <w:rsid w:val="00C479C2"/>
    <w:rsid w:val="00C51A09"/>
    <w:rsid w:val="00C53823"/>
    <w:rsid w:val="00C5556E"/>
    <w:rsid w:val="00C566BC"/>
    <w:rsid w:val="00C620F1"/>
    <w:rsid w:val="00C62BE1"/>
    <w:rsid w:val="00C650F9"/>
    <w:rsid w:val="00C700F5"/>
    <w:rsid w:val="00C71064"/>
    <w:rsid w:val="00C74127"/>
    <w:rsid w:val="00C7650B"/>
    <w:rsid w:val="00C7747C"/>
    <w:rsid w:val="00C836E1"/>
    <w:rsid w:val="00C85A16"/>
    <w:rsid w:val="00C85B55"/>
    <w:rsid w:val="00C85F21"/>
    <w:rsid w:val="00C868B1"/>
    <w:rsid w:val="00C91973"/>
    <w:rsid w:val="00C92242"/>
    <w:rsid w:val="00C924A3"/>
    <w:rsid w:val="00C94ABC"/>
    <w:rsid w:val="00C9525E"/>
    <w:rsid w:val="00C96500"/>
    <w:rsid w:val="00CA12D4"/>
    <w:rsid w:val="00CA6E44"/>
    <w:rsid w:val="00CB06A1"/>
    <w:rsid w:val="00CB1B68"/>
    <w:rsid w:val="00CB1C1E"/>
    <w:rsid w:val="00CB3ECF"/>
    <w:rsid w:val="00CB5342"/>
    <w:rsid w:val="00CC0550"/>
    <w:rsid w:val="00CC25DA"/>
    <w:rsid w:val="00CC274F"/>
    <w:rsid w:val="00CC34A1"/>
    <w:rsid w:val="00CC35AE"/>
    <w:rsid w:val="00CC3E43"/>
    <w:rsid w:val="00CC68D1"/>
    <w:rsid w:val="00CD0A2C"/>
    <w:rsid w:val="00CD5AFE"/>
    <w:rsid w:val="00CD7B14"/>
    <w:rsid w:val="00CD7BD0"/>
    <w:rsid w:val="00CE0408"/>
    <w:rsid w:val="00CE14DE"/>
    <w:rsid w:val="00CE6A7E"/>
    <w:rsid w:val="00CF0CA8"/>
    <w:rsid w:val="00CF214A"/>
    <w:rsid w:val="00CF39EC"/>
    <w:rsid w:val="00D00CE2"/>
    <w:rsid w:val="00D03FF9"/>
    <w:rsid w:val="00D04825"/>
    <w:rsid w:val="00D07DEC"/>
    <w:rsid w:val="00D12059"/>
    <w:rsid w:val="00D12E3E"/>
    <w:rsid w:val="00D13931"/>
    <w:rsid w:val="00D14360"/>
    <w:rsid w:val="00D21860"/>
    <w:rsid w:val="00D21FDD"/>
    <w:rsid w:val="00D22B6E"/>
    <w:rsid w:val="00D237C4"/>
    <w:rsid w:val="00D25BD0"/>
    <w:rsid w:val="00D311BD"/>
    <w:rsid w:val="00D317E1"/>
    <w:rsid w:val="00D368EE"/>
    <w:rsid w:val="00D37069"/>
    <w:rsid w:val="00D41E1D"/>
    <w:rsid w:val="00D50679"/>
    <w:rsid w:val="00D53429"/>
    <w:rsid w:val="00D55058"/>
    <w:rsid w:val="00D565E0"/>
    <w:rsid w:val="00D62B3A"/>
    <w:rsid w:val="00D63524"/>
    <w:rsid w:val="00D636D5"/>
    <w:rsid w:val="00D66B17"/>
    <w:rsid w:val="00D739DC"/>
    <w:rsid w:val="00D74347"/>
    <w:rsid w:val="00D760E6"/>
    <w:rsid w:val="00D80B89"/>
    <w:rsid w:val="00D80E98"/>
    <w:rsid w:val="00D84332"/>
    <w:rsid w:val="00D8469E"/>
    <w:rsid w:val="00D86FB3"/>
    <w:rsid w:val="00D877CB"/>
    <w:rsid w:val="00D92F2E"/>
    <w:rsid w:val="00D94092"/>
    <w:rsid w:val="00D96124"/>
    <w:rsid w:val="00D97C48"/>
    <w:rsid w:val="00DA2863"/>
    <w:rsid w:val="00DA420C"/>
    <w:rsid w:val="00DA486D"/>
    <w:rsid w:val="00DA518D"/>
    <w:rsid w:val="00DB11EF"/>
    <w:rsid w:val="00DB2982"/>
    <w:rsid w:val="00DB368D"/>
    <w:rsid w:val="00DB3CCE"/>
    <w:rsid w:val="00DB6632"/>
    <w:rsid w:val="00DB6C67"/>
    <w:rsid w:val="00DB6FF3"/>
    <w:rsid w:val="00DC2CF4"/>
    <w:rsid w:val="00DC4A6C"/>
    <w:rsid w:val="00DC7721"/>
    <w:rsid w:val="00DD08C9"/>
    <w:rsid w:val="00DD534F"/>
    <w:rsid w:val="00DD5730"/>
    <w:rsid w:val="00DD6C57"/>
    <w:rsid w:val="00DE0967"/>
    <w:rsid w:val="00DE6416"/>
    <w:rsid w:val="00DF183E"/>
    <w:rsid w:val="00DF24C5"/>
    <w:rsid w:val="00DF300F"/>
    <w:rsid w:val="00DF44FF"/>
    <w:rsid w:val="00DF4ECD"/>
    <w:rsid w:val="00DF68C8"/>
    <w:rsid w:val="00E00E10"/>
    <w:rsid w:val="00E016F2"/>
    <w:rsid w:val="00E01C66"/>
    <w:rsid w:val="00E03947"/>
    <w:rsid w:val="00E046F4"/>
    <w:rsid w:val="00E049F3"/>
    <w:rsid w:val="00E06CD4"/>
    <w:rsid w:val="00E11F6A"/>
    <w:rsid w:val="00E128A8"/>
    <w:rsid w:val="00E148FD"/>
    <w:rsid w:val="00E14D91"/>
    <w:rsid w:val="00E1557C"/>
    <w:rsid w:val="00E17A6E"/>
    <w:rsid w:val="00E25992"/>
    <w:rsid w:val="00E27B55"/>
    <w:rsid w:val="00E309E8"/>
    <w:rsid w:val="00E33FA3"/>
    <w:rsid w:val="00E34346"/>
    <w:rsid w:val="00E40444"/>
    <w:rsid w:val="00E435DF"/>
    <w:rsid w:val="00E43DD2"/>
    <w:rsid w:val="00E47965"/>
    <w:rsid w:val="00E5535E"/>
    <w:rsid w:val="00E559FA"/>
    <w:rsid w:val="00E57047"/>
    <w:rsid w:val="00E570CC"/>
    <w:rsid w:val="00E57BDA"/>
    <w:rsid w:val="00E605EA"/>
    <w:rsid w:val="00E60F9F"/>
    <w:rsid w:val="00E61A7C"/>
    <w:rsid w:val="00E61F8F"/>
    <w:rsid w:val="00E62ADD"/>
    <w:rsid w:val="00E644C2"/>
    <w:rsid w:val="00E653BD"/>
    <w:rsid w:val="00E6598B"/>
    <w:rsid w:val="00E65B5D"/>
    <w:rsid w:val="00E65E00"/>
    <w:rsid w:val="00E66027"/>
    <w:rsid w:val="00E729AE"/>
    <w:rsid w:val="00E74525"/>
    <w:rsid w:val="00E759D7"/>
    <w:rsid w:val="00E775EA"/>
    <w:rsid w:val="00E83281"/>
    <w:rsid w:val="00E87ECF"/>
    <w:rsid w:val="00E91076"/>
    <w:rsid w:val="00E926FA"/>
    <w:rsid w:val="00E943E5"/>
    <w:rsid w:val="00E9585B"/>
    <w:rsid w:val="00E9683C"/>
    <w:rsid w:val="00EA3790"/>
    <w:rsid w:val="00EA41E9"/>
    <w:rsid w:val="00EA5B58"/>
    <w:rsid w:val="00EA5E03"/>
    <w:rsid w:val="00EA6594"/>
    <w:rsid w:val="00EB00CD"/>
    <w:rsid w:val="00EB10CE"/>
    <w:rsid w:val="00EB1E4E"/>
    <w:rsid w:val="00EB2029"/>
    <w:rsid w:val="00EB3E0F"/>
    <w:rsid w:val="00EB7D48"/>
    <w:rsid w:val="00EC088D"/>
    <w:rsid w:val="00EC25A8"/>
    <w:rsid w:val="00EC34EA"/>
    <w:rsid w:val="00EC6427"/>
    <w:rsid w:val="00ED1286"/>
    <w:rsid w:val="00ED3B0D"/>
    <w:rsid w:val="00ED55BB"/>
    <w:rsid w:val="00ED6001"/>
    <w:rsid w:val="00EE1511"/>
    <w:rsid w:val="00EE1BF5"/>
    <w:rsid w:val="00EE1F4D"/>
    <w:rsid w:val="00EE38E9"/>
    <w:rsid w:val="00EE3ACD"/>
    <w:rsid w:val="00EE5E69"/>
    <w:rsid w:val="00EF26E7"/>
    <w:rsid w:val="00EF2F73"/>
    <w:rsid w:val="00EF3144"/>
    <w:rsid w:val="00EF4A1C"/>
    <w:rsid w:val="00EF750C"/>
    <w:rsid w:val="00F02F3F"/>
    <w:rsid w:val="00F04418"/>
    <w:rsid w:val="00F0622E"/>
    <w:rsid w:val="00F07D42"/>
    <w:rsid w:val="00F1303C"/>
    <w:rsid w:val="00F134C8"/>
    <w:rsid w:val="00F16533"/>
    <w:rsid w:val="00F171D4"/>
    <w:rsid w:val="00F17B22"/>
    <w:rsid w:val="00F2006C"/>
    <w:rsid w:val="00F2084D"/>
    <w:rsid w:val="00F246ED"/>
    <w:rsid w:val="00F24CF7"/>
    <w:rsid w:val="00F32452"/>
    <w:rsid w:val="00F32701"/>
    <w:rsid w:val="00F33217"/>
    <w:rsid w:val="00F33996"/>
    <w:rsid w:val="00F376F6"/>
    <w:rsid w:val="00F40757"/>
    <w:rsid w:val="00F42317"/>
    <w:rsid w:val="00F42371"/>
    <w:rsid w:val="00F43393"/>
    <w:rsid w:val="00F44F66"/>
    <w:rsid w:val="00F468F5"/>
    <w:rsid w:val="00F50A4C"/>
    <w:rsid w:val="00F5519A"/>
    <w:rsid w:val="00F55646"/>
    <w:rsid w:val="00F55A01"/>
    <w:rsid w:val="00F604DE"/>
    <w:rsid w:val="00F612E4"/>
    <w:rsid w:val="00F627D8"/>
    <w:rsid w:val="00F62A33"/>
    <w:rsid w:val="00F64622"/>
    <w:rsid w:val="00F67B58"/>
    <w:rsid w:val="00F74211"/>
    <w:rsid w:val="00F74D0B"/>
    <w:rsid w:val="00F757F1"/>
    <w:rsid w:val="00F75B76"/>
    <w:rsid w:val="00F9199C"/>
    <w:rsid w:val="00FA0633"/>
    <w:rsid w:val="00FA09E3"/>
    <w:rsid w:val="00FA343B"/>
    <w:rsid w:val="00FA3B79"/>
    <w:rsid w:val="00FB057B"/>
    <w:rsid w:val="00FB3259"/>
    <w:rsid w:val="00FB42EC"/>
    <w:rsid w:val="00FB6CC3"/>
    <w:rsid w:val="00FB7F5C"/>
    <w:rsid w:val="00FB7FFB"/>
    <w:rsid w:val="00FC0C4B"/>
    <w:rsid w:val="00FC2752"/>
    <w:rsid w:val="00FC4425"/>
    <w:rsid w:val="00FC52AA"/>
    <w:rsid w:val="00FC57C5"/>
    <w:rsid w:val="00FC59F9"/>
    <w:rsid w:val="00FD1CCE"/>
    <w:rsid w:val="00FD63F3"/>
    <w:rsid w:val="00FD6720"/>
    <w:rsid w:val="00FE09B4"/>
    <w:rsid w:val="00FE14D5"/>
    <w:rsid w:val="00FE31FC"/>
    <w:rsid w:val="00FE4EB7"/>
    <w:rsid w:val="00FE65E6"/>
    <w:rsid w:val="00FF508F"/>
    <w:rsid w:val="00FF50AC"/>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d31145,#fffddf,#ffecd6"/>
    </o:shapedefaults>
    <o:shapelayout v:ext="edit">
      <o:idmap v:ext="edit" data="1"/>
    </o:shapelayout>
  </w:shapeDefaults>
  <w:decimalSymbol w:val="."/>
  <w:listSeparator w:val=","/>
  <w15:docId w15:val="{ADE9C05A-2BCC-425F-8689-186B7DA6D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mbria" w:hAnsi="Arial" w:cs="Times New Roman"/>
        <w:lang w:val="en-GB" w:eastAsia="en-GB" w:bidi="ar-SA"/>
      </w:rPr>
    </w:rPrDefault>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0"/>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iPriority="2"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qFormat/>
    <w:rsid w:val="00FD63F3"/>
    <w:pPr>
      <w:autoSpaceDE w:val="0"/>
      <w:autoSpaceDN w:val="0"/>
      <w:adjustRightInd w:val="0"/>
      <w:spacing w:after="120"/>
      <w:jc w:val="both"/>
    </w:pPr>
    <w:rPr>
      <w:rFonts w:eastAsia="Calibri" w:cs="Helvetica-Light"/>
      <w:color w:val="000000"/>
      <w:sz w:val="24"/>
      <w:szCs w:val="24"/>
      <w:lang w:eastAsia="en-US"/>
    </w:rPr>
  </w:style>
  <w:style w:type="paragraph" w:styleId="Heading1">
    <w:name w:val="heading 1"/>
    <w:basedOn w:val="Normal"/>
    <w:next w:val="Normal"/>
    <w:link w:val="Heading1Char"/>
    <w:uiPriority w:val="9"/>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uiPriority w:val="9"/>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uiPriority w:val="9"/>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jc w:val="left"/>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jc w:val="left"/>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after="0"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spacing w:after="0"/>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jc w:val="left"/>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after="0" w:line="360" w:lineRule="auto"/>
      <w:jc w:val="left"/>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345FB"/>
    <w:rPr>
      <w:rFonts w:eastAsia="Times New Roman" w:cs="Helvetica-Light"/>
      <w:b/>
      <w:bCs/>
      <w:sz w:val="40"/>
      <w:szCs w:val="28"/>
    </w:rPr>
  </w:style>
  <w:style w:type="character" w:customStyle="1" w:styleId="Heading2Char">
    <w:name w:val="Heading 2 Char"/>
    <w:basedOn w:val="DefaultParagraphFont"/>
    <w:link w:val="Heading2"/>
    <w:rsid w:val="002345FB"/>
    <w:rPr>
      <w:rFonts w:eastAsia="Times New Roman" w:cs="Helvetica-Light"/>
      <w:b/>
      <w:bCs/>
      <w:color w:val="000000"/>
      <w:sz w:val="32"/>
      <w:szCs w:val="26"/>
    </w:rPr>
  </w:style>
  <w:style w:type="character" w:customStyle="1" w:styleId="Heading3Char">
    <w:name w:val="Heading 3 Char"/>
    <w:basedOn w:val="DefaultParagraphFont"/>
    <w:link w:val="Heading3"/>
    <w:rsid w:val="002345FB"/>
    <w:rPr>
      <w:rFonts w:eastAsia="Times New Roman"/>
      <w:b/>
      <w:bCs/>
      <w:i/>
      <w:sz w:val="28"/>
      <w:szCs w:val="28"/>
      <w:lang w:eastAsia="en-US"/>
    </w:rPr>
  </w:style>
  <w:style w:type="character" w:customStyle="1" w:styleId="Heading4Char">
    <w:name w:val="Heading 4 Char"/>
    <w:basedOn w:val="DefaultParagraphFont"/>
    <w:link w:val="Heading4"/>
    <w:rsid w:val="002345FB"/>
    <w:rPr>
      <w:rFonts w:eastAsia="Times New Roman" w:cs="Arial"/>
      <w:b/>
      <w:bCs/>
      <w:sz w:val="22"/>
      <w:szCs w:val="22"/>
    </w:rPr>
  </w:style>
  <w:style w:type="character" w:customStyle="1" w:styleId="Heading5Char">
    <w:name w:val="Heading 5 Char"/>
    <w:basedOn w:val="DefaultParagraphFont"/>
    <w:link w:val="Heading5"/>
    <w:semiHidden/>
    <w:rsid w:val="0001341B"/>
    <w:rPr>
      <w:rFonts w:eastAsia="Times New Roman" w:cs="Arial"/>
      <w:b/>
      <w:bCs/>
      <w:i/>
      <w:iCs/>
      <w:sz w:val="26"/>
      <w:szCs w:val="26"/>
    </w:rPr>
  </w:style>
  <w:style w:type="character" w:customStyle="1" w:styleId="Heading6Char">
    <w:name w:val="Heading 6 Char"/>
    <w:basedOn w:val="DefaultParagraphFont"/>
    <w:link w:val="Heading6"/>
    <w:semiHidden/>
    <w:rsid w:val="0001341B"/>
    <w:rPr>
      <w:rFonts w:eastAsia="Times New Roman"/>
      <w:b/>
      <w:sz w:val="24"/>
      <w:szCs w:val="20"/>
      <w:shd w:val="pct10" w:color="auto" w:fill="auto"/>
    </w:rPr>
  </w:style>
  <w:style w:type="character" w:customStyle="1" w:styleId="Heading7Char">
    <w:name w:val="Heading 7 Char"/>
    <w:basedOn w:val="DefaultParagraphFont"/>
    <w:link w:val="Heading7"/>
    <w:semiHidden/>
    <w:rsid w:val="0001341B"/>
    <w:rPr>
      <w:rFonts w:eastAsia="Times New Roman"/>
      <w:b/>
      <w:sz w:val="24"/>
      <w:szCs w:val="20"/>
    </w:rPr>
  </w:style>
  <w:style w:type="character" w:customStyle="1" w:styleId="Heading8Char">
    <w:name w:val="Heading 8 Char"/>
    <w:basedOn w:val="DefaultParagraphFont"/>
    <w:link w:val="Heading8"/>
    <w:semiHidden/>
    <w:rsid w:val="0001341B"/>
    <w:rPr>
      <w:rFonts w:ascii="Times New Roman" w:eastAsia="Times New Roman" w:hAnsi="Times New Roman"/>
      <w:i/>
      <w:iCs/>
      <w:sz w:val="24"/>
      <w:szCs w:val="24"/>
    </w:rPr>
  </w:style>
  <w:style w:type="character" w:customStyle="1" w:styleId="Heading9Char">
    <w:name w:val="Heading 9 Char"/>
    <w:basedOn w:val="DefaultParagraphFont"/>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99"/>
    <w:rsid w:val="00846AEA"/>
    <w:pPr>
      <w:tabs>
        <w:tab w:val="center" w:pos="4320"/>
        <w:tab w:val="right" w:pos="8640"/>
      </w:tabs>
      <w:spacing w:after="0"/>
    </w:pPr>
    <w:rPr>
      <w:color w:val="FFFFFF"/>
      <w:sz w:val="22"/>
      <w:szCs w:val="22"/>
    </w:rPr>
  </w:style>
  <w:style w:type="character" w:customStyle="1" w:styleId="HeaderChar">
    <w:name w:val="Header Char"/>
    <w:basedOn w:val="DefaultParagraphFont"/>
    <w:link w:val="Header"/>
    <w:uiPriority w:val="99"/>
    <w:rsid w:val="009028CB"/>
    <w:rPr>
      <w:rFonts w:eastAsia="Calibri" w:cs="Helvetica-Light"/>
      <w:color w:val="FFFFFF"/>
      <w:lang w:eastAsia="en-US"/>
    </w:rPr>
  </w:style>
  <w:style w:type="paragraph" w:styleId="Footer">
    <w:name w:val="footer"/>
    <w:basedOn w:val="Normal"/>
    <w:link w:val="FooterChar"/>
    <w:uiPriority w:val="99"/>
    <w:rsid w:val="00846AEA"/>
    <w:pPr>
      <w:spacing w:after="0"/>
      <w:jc w:val="center"/>
    </w:pPr>
    <w:rPr>
      <w:sz w:val="22"/>
      <w:szCs w:val="22"/>
    </w:rPr>
  </w:style>
  <w:style w:type="character" w:customStyle="1" w:styleId="FooterChar">
    <w:name w:val="Footer Char"/>
    <w:basedOn w:val="DefaultParagraphFont"/>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basedOn w:val="DefaultParagraphFont"/>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basedOn w:val="DefaultParagraphFont"/>
    <w:link w:val="BodyText2"/>
    <w:semiHidden/>
    <w:rsid w:val="0001341B"/>
    <w:rPr>
      <w:rFonts w:eastAsia="Calibri" w:cs="Helvetica-Light"/>
      <w:color w:val="000000"/>
      <w:sz w:val="24"/>
      <w:szCs w:val="24"/>
      <w:lang w:eastAsia="en-US"/>
    </w:rPr>
  </w:style>
  <w:style w:type="character" w:styleId="PageNumber">
    <w:name w:val="page number"/>
    <w:basedOn w:val="DefaultParagraphFont"/>
    <w:uiPriority w:val="2"/>
    <w:rsid w:val="000701AB"/>
    <w:rPr>
      <w:rFonts w:cs="Times New Roman"/>
    </w:rPr>
  </w:style>
  <w:style w:type="table" w:styleId="TableGrid">
    <w:name w:val="Table Grid"/>
    <w:basedOn w:val="TableNormal"/>
    <w:uiPriority w:val="3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99"/>
    <w:rsid w:val="00EA41E9"/>
    <w:pPr>
      <w:spacing w:after="0"/>
    </w:pPr>
    <w:rPr>
      <w:sz w:val="20"/>
      <w:szCs w:val="20"/>
    </w:rPr>
  </w:style>
  <w:style w:type="character" w:customStyle="1" w:styleId="FootnoteTextChar">
    <w:name w:val="Footnote Text Char"/>
    <w:basedOn w:val="DefaultParagraphFont"/>
    <w:link w:val="FootnoteText"/>
    <w:uiPriority w:val="99"/>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basedOn w:val="DefaultParagraphFont"/>
    <w:uiPriority w:val="99"/>
    <w:unhideWhenUsed/>
    <w:rsid w:val="006C4F7E"/>
    <w:rPr>
      <w:rFonts w:cs="Arial"/>
      <w:color w:val="0000FF"/>
      <w:u w:val="single"/>
    </w:rPr>
  </w:style>
  <w:style w:type="paragraph" w:styleId="TOC4">
    <w:name w:val="toc 4"/>
    <w:basedOn w:val="Normal"/>
    <w:next w:val="Normal"/>
    <w:autoRedefine/>
    <w:uiPriority w:val="39"/>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basedOn w:val="Heading2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pPr>
      <w:spacing w:after="0"/>
      <w:jc w:val="left"/>
    </w:pPr>
    <w:rPr>
      <w:b/>
      <w:color w:val="FF0000"/>
      <w:sz w:val="2"/>
      <w:szCs w:val="2"/>
    </w:rPr>
  </w:style>
  <w:style w:type="character" w:styleId="FootnoteReference">
    <w:name w:val="footnote reference"/>
    <w:basedOn w:val="DefaultParagraphFont"/>
    <w:uiPriority w:val="99"/>
    <w:rsid w:val="00AB4059"/>
    <w:rPr>
      <w:vertAlign w:val="superscript"/>
    </w:rPr>
  </w:style>
  <w:style w:type="character" w:styleId="FollowedHyperlink">
    <w:name w:val="FollowedHyperlink"/>
    <w:basedOn w:val="DefaultParagraphFont"/>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basedOn w:val="DefaultParagraphFont"/>
    <w:link w:val="BodyTextIndent"/>
    <w:rsid w:val="009028CB"/>
    <w:rPr>
      <w:rFonts w:eastAsia="Times New Roman"/>
      <w:sz w:val="24"/>
      <w:szCs w:val="20"/>
    </w:rPr>
  </w:style>
  <w:style w:type="character" w:customStyle="1" w:styleId="CommentTextChar">
    <w:name w:val="Comment Text Char"/>
    <w:basedOn w:val="DefaultParagraphFont"/>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spacing w:after="0"/>
      <w:jc w:val="left"/>
    </w:pPr>
    <w:rPr>
      <w:rFonts w:eastAsia="Times New Roman" w:cs="Arial"/>
      <w:color w:val="auto"/>
      <w:sz w:val="20"/>
      <w:szCs w:val="20"/>
      <w:lang w:eastAsia="en-GB"/>
    </w:rPr>
  </w:style>
  <w:style w:type="character" w:customStyle="1" w:styleId="CommentTextChar1">
    <w:name w:val="Comment Text Char1"/>
    <w:basedOn w:val="DefaultParagraphFont"/>
    <w:uiPriority w:val="99"/>
    <w:semiHidden/>
    <w:rsid w:val="00AB4059"/>
    <w:rPr>
      <w:rFonts w:ascii="Arial" w:eastAsia="Calibri" w:hAnsi="Arial" w:cs="Helvetica-Light"/>
      <w:color w:val="000000"/>
      <w:lang w:eastAsia="en-US"/>
    </w:rPr>
  </w:style>
  <w:style w:type="character" w:customStyle="1" w:styleId="CommentSubjectChar1">
    <w:name w:val="Comment Subject Char1"/>
    <w:basedOn w:val="CommentText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jc w:val="left"/>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jc w:val="left"/>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jc w:val="left"/>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basedOn w:val="DefaultParagraphFont"/>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basedOn w:val="BodyTextIndent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basedOn w:val="DefaultParagraphFont"/>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basedOn w:val="DefaultParagraphFont"/>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basedOn w:val="DefaultParagraphFont"/>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basedOn w:val="DefaultParagraphFont"/>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unhideWhenUsed/>
    <w:rsid w:val="00AB4059"/>
    <w:pPr>
      <w:ind w:left="960"/>
    </w:pPr>
  </w:style>
  <w:style w:type="paragraph" w:styleId="TOC6">
    <w:name w:val="toc 6"/>
    <w:basedOn w:val="Normal"/>
    <w:next w:val="Normal"/>
    <w:autoRedefine/>
    <w:uiPriority w:val="39"/>
    <w:unhideWhenUsed/>
    <w:rsid w:val="00AB4059"/>
    <w:pPr>
      <w:ind w:left="1200"/>
    </w:pPr>
  </w:style>
  <w:style w:type="paragraph" w:styleId="TOC7">
    <w:name w:val="toc 7"/>
    <w:basedOn w:val="Normal"/>
    <w:next w:val="Normal"/>
    <w:autoRedefine/>
    <w:uiPriority w:val="39"/>
    <w:unhideWhenUsed/>
    <w:rsid w:val="00AB4059"/>
    <w:pPr>
      <w:ind w:left="1440"/>
    </w:pPr>
  </w:style>
  <w:style w:type="paragraph" w:styleId="TOC8">
    <w:name w:val="toc 8"/>
    <w:basedOn w:val="Normal"/>
    <w:next w:val="Normal"/>
    <w:autoRedefine/>
    <w:uiPriority w:val="39"/>
    <w:unhideWhenUsed/>
    <w:rsid w:val="00AB4059"/>
    <w:pPr>
      <w:ind w:left="1680"/>
    </w:pPr>
  </w:style>
  <w:style w:type="paragraph" w:styleId="TOC9">
    <w:name w:val="toc 9"/>
    <w:basedOn w:val="Normal"/>
    <w:next w:val="Normal"/>
    <w:autoRedefine/>
    <w:uiPriority w:val="39"/>
    <w:unhideWhenUsed/>
    <w:rsid w:val="00AB4059"/>
    <w:pPr>
      <w:ind w:left="1920"/>
    </w:pPr>
  </w:style>
  <w:style w:type="character" w:styleId="EndnoteReference">
    <w:name w:val="endnote reference"/>
    <w:basedOn w:val="DefaultParagraphFont"/>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pPr>
      <w:spacing w:after="0"/>
    </w:pPr>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basedOn w:val="DefaultParagraphFont"/>
    <w:link w:val="BodyText"/>
    <w:rsid w:val="009028CB"/>
    <w:rPr>
      <w:rFonts w:eastAsia="Times New Roman" w:cs="Helvetica-Light"/>
      <w:sz w:val="24"/>
      <w:szCs w:val="24"/>
    </w:rPr>
  </w:style>
  <w:style w:type="paragraph" w:styleId="TOCHeading">
    <w:name w:val="TOC Heading"/>
    <w:basedOn w:val="Heading1"/>
    <w:next w:val="Normal"/>
    <w:uiPriority w:val="39"/>
    <w:unhideWhenUsed/>
    <w:qFormat/>
    <w:rsid w:val="00594228"/>
    <w:pPr>
      <w:keepLines/>
      <w:autoSpaceDE/>
      <w:autoSpaceDN/>
      <w:adjustRightInd/>
      <w:spacing w:before="240" w:after="0" w:line="259" w:lineRule="auto"/>
      <w:jc w:val="left"/>
      <w:outlineLvl w:val="9"/>
    </w:pPr>
    <w:rPr>
      <w:rFonts w:asciiTheme="majorHAnsi" w:eastAsiaTheme="majorEastAsia" w:hAnsiTheme="majorHAnsi" w:cstheme="majorBidi"/>
      <w:b w:val="0"/>
      <w:bCs w:val="0"/>
      <w:color w:val="365F91" w:themeColor="accent1" w:themeShade="BF"/>
      <w:sz w:val="32"/>
      <w:szCs w:val="32"/>
      <w:lang w:val="en-US" w:eastAsia="en-US"/>
    </w:rPr>
  </w:style>
  <w:style w:type="paragraph" w:customStyle="1" w:styleId="BTLSnormal">
    <w:name w:val="BTLS normal"/>
    <w:basedOn w:val="Normal"/>
    <w:link w:val="BTLSnormalChar"/>
    <w:qFormat/>
    <w:rsid w:val="00EB1E4E"/>
    <w:pPr>
      <w:tabs>
        <w:tab w:val="left" w:pos="9540"/>
        <w:tab w:val="left" w:pos="9720"/>
      </w:tabs>
      <w:autoSpaceDE/>
      <w:autoSpaceDN/>
      <w:adjustRightInd/>
      <w:spacing w:line="276" w:lineRule="auto"/>
    </w:pPr>
    <w:rPr>
      <w:rFonts w:ascii="Calibri" w:hAnsi="Calibri" w:cs="Times New Roman"/>
      <w:color w:val="auto"/>
      <w:szCs w:val="22"/>
      <w:lang w:eastAsia="en-GB"/>
    </w:rPr>
  </w:style>
  <w:style w:type="character" w:customStyle="1" w:styleId="BTLSnormalChar">
    <w:name w:val="BTLS normal Char"/>
    <w:link w:val="BTLSnormal"/>
    <w:rsid w:val="00EB1E4E"/>
    <w:rPr>
      <w:rFonts w:ascii="Calibri" w:eastAsia="Calibri" w:hAnsi="Calibri"/>
      <w:sz w:val="24"/>
      <w:szCs w:val="22"/>
    </w:rPr>
  </w:style>
  <w:style w:type="paragraph" w:styleId="NormalWeb">
    <w:name w:val="Normal (Web)"/>
    <w:basedOn w:val="Normal"/>
    <w:uiPriority w:val="99"/>
    <w:unhideWhenUsed/>
    <w:rsid w:val="000A3809"/>
    <w:pPr>
      <w:autoSpaceDE/>
      <w:autoSpaceDN/>
      <w:adjustRightInd/>
      <w:spacing w:before="100" w:beforeAutospacing="1" w:after="240"/>
      <w:jc w:val="left"/>
    </w:pPr>
    <w:rPr>
      <w:rFonts w:ascii="Times New Roman" w:eastAsiaTheme="minorHAnsi" w:hAnsi="Times New Roman" w:cs="Times New Roman"/>
      <w:color w:val="auto"/>
      <w:lang w:eastAsia="en-GB"/>
    </w:rPr>
  </w:style>
  <w:style w:type="character" w:styleId="CommentReference">
    <w:name w:val="annotation reference"/>
    <w:basedOn w:val="DefaultParagraphFont"/>
    <w:uiPriority w:val="99"/>
    <w:rsid w:val="0054686B"/>
    <w:rPr>
      <w:sz w:val="16"/>
      <w:szCs w:val="16"/>
    </w:rPr>
  </w:style>
  <w:style w:type="paragraph" w:styleId="CommentSubject">
    <w:name w:val="annotation subject"/>
    <w:basedOn w:val="CommentText"/>
    <w:next w:val="CommentText"/>
    <w:link w:val="CommentSubjectChar"/>
    <w:uiPriority w:val="99"/>
    <w:semiHidden/>
    <w:unhideWhenUsed/>
    <w:rsid w:val="0054686B"/>
    <w:pPr>
      <w:autoSpaceDE w:val="0"/>
      <w:autoSpaceDN w:val="0"/>
      <w:adjustRightInd w:val="0"/>
      <w:spacing w:after="120"/>
      <w:jc w:val="both"/>
    </w:pPr>
    <w:rPr>
      <w:rFonts w:eastAsia="Calibri" w:cs="Helvetica-Light"/>
      <w:b/>
      <w:bCs/>
      <w:color w:val="000000"/>
      <w:lang w:eastAsia="en-US"/>
    </w:rPr>
  </w:style>
  <w:style w:type="character" w:customStyle="1" w:styleId="CommentSubjectChar">
    <w:name w:val="Comment Subject Char"/>
    <w:basedOn w:val="CommentTextChar"/>
    <w:link w:val="CommentSubject"/>
    <w:uiPriority w:val="99"/>
    <w:semiHidden/>
    <w:rsid w:val="0054686B"/>
    <w:rPr>
      <w:rFonts w:eastAsia="Calibri" w:cs="Helvetica-Light"/>
      <w:b/>
      <w:bCs/>
      <w:color w:val="000000"/>
      <w:sz w:val="20"/>
      <w:szCs w:val="20"/>
      <w:lang w:eastAsia="en-US"/>
    </w:rPr>
  </w:style>
  <w:style w:type="paragraph" w:styleId="BalloonText">
    <w:name w:val="Balloon Text"/>
    <w:basedOn w:val="Normal"/>
    <w:link w:val="BalloonTextChar"/>
    <w:uiPriority w:val="99"/>
    <w:semiHidden/>
    <w:unhideWhenUsed/>
    <w:rsid w:val="0054686B"/>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86B"/>
    <w:rPr>
      <w:rFonts w:ascii="Segoe UI" w:eastAsia="Calibri" w:hAnsi="Segoe UI" w:cs="Segoe UI"/>
      <w:color w:val="000000"/>
      <w:sz w:val="18"/>
      <w:szCs w:val="18"/>
      <w:lang w:eastAsia="en-US"/>
    </w:rPr>
  </w:style>
  <w:style w:type="paragraph" w:customStyle="1" w:styleId="Default">
    <w:name w:val="Default"/>
    <w:rsid w:val="0037393E"/>
    <w:pPr>
      <w:autoSpaceDE w:val="0"/>
      <w:autoSpaceDN w:val="0"/>
      <w:adjustRightInd w:val="0"/>
    </w:pPr>
    <w:rPr>
      <w:rFonts w:eastAsiaTheme="minorHAnsi" w:cs="Arial"/>
      <w:color w:val="000000"/>
      <w:sz w:val="24"/>
      <w:szCs w:val="24"/>
      <w:lang w:eastAsia="en-US"/>
    </w:rPr>
  </w:style>
  <w:style w:type="character" w:customStyle="1" w:styleId="legds2">
    <w:name w:val="legds2"/>
    <w:basedOn w:val="DefaultParagraphFont"/>
    <w:rsid w:val="0037393E"/>
    <w:rPr>
      <w:vanish w:val="0"/>
      <w:webHidden w:val="0"/>
      <w:specVanish w:val="0"/>
    </w:rPr>
  </w:style>
  <w:style w:type="character" w:customStyle="1" w:styleId="legextentrestriction7">
    <w:name w:val="legextentrestriction7"/>
    <w:basedOn w:val="DefaultParagraphFont"/>
    <w:rsid w:val="0037393E"/>
    <w:rPr>
      <w:b/>
      <w:bCs/>
      <w:i w:val="0"/>
      <w:iCs w:val="0"/>
      <w:vanish/>
      <w:webHidden w:val="0"/>
      <w:color w:val="FFFFFF"/>
      <w:sz w:val="22"/>
      <w:szCs w:val="22"/>
      <w:shd w:val="clear" w:color="auto" w:fill="660066"/>
      <w:specVanish w:val="0"/>
    </w:rPr>
  </w:style>
  <w:style w:type="paragraph" w:customStyle="1" w:styleId="legclearfix2">
    <w:name w:val="legclearfix2"/>
    <w:basedOn w:val="Normal"/>
    <w:rsid w:val="0037393E"/>
    <w:pPr>
      <w:shd w:val="clear" w:color="auto" w:fill="FFFFFF"/>
      <w:autoSpaceDE/>
      <w:autoSpaceDN/>
      <w:adjustRightInd/>
      <w:spacing w:line="360" w:lineRule="atLeast"/>
      <w:jc w:val="left"/>
    </w:pPr>
    <w:rPr>
      <w:rFonts w:ascii="Times New Roman" w:eastAsia="Times New Roman" w:hAnsi="Times New Roman" w:cs="Times New Roman"/>
      <w:sz w:val="19"/>
      <w:szCs w:val="19"/>
      <w:lang w:eastAsia="en-GB"/>
    </w:rPr>
  </w:style>
  <w:style w:type="character" w:customStyle="1" w:styleId="legchangedelimiter2">
    <w:name w:val="legchangedelimiter2"/>
    <w:basedOn w:val="DefaultParagraphFont"/>
    <w:rsid w:val="0037393E"/>
    <w:rPr>
      <w:b/>
      <w:bCs/>
      <w:i w:val="0"/>
      <w:iCs w:val="0"/>
      <w:color w:val="000000"/>
      <w:sz w:val="34"/>
      <w:szCs w:val="34"/>
    </w:rPr>
  </w:style>
  <w:style w:type="character" w:customStyle="1" w:styleId="legaddition5">
    <w:name w:val="legaddition5"/>
    <w:basedOn w:val="DefaultParagraphFont"/>
    <w:rsid w:val="0037393E"/>
  </w:style>
  <w:style w:type="character" w:styleId="Strong">
    <w:name w:val="Strong"/>
    <w:basedOn w:val="DefaultParagraphFont"/>
    <w:uiPriority w:val="22"/>
    <w:qFormat/>
    <w:rsid w:val="0037393E"/>
    <w:rPr>
      <w:b/>
      <w:bCs/>
    </w:rPr>
  </w:style>
  <w:style w:type="paragraph" w:styleId="NoSpacing">
    <w:name w:val="No Spacing"/>
    <w:uiPriority w:val="1"/>
    <w:qFormat/>
    <w:rsid w:val="00EB00CD"/>
    <w:rPr>
      <w:rFonts w:eastAsiaTheme="minorHAnsi" w:cstheme="minorBidi"/>
      <w:sz w:val="24"/>
      <w:szCs w:val="22"/>
      <w:lang w:eastAsia="en-US"/>
    </w:rPr>
  </w:style>
  <w:style w:type="paragraph" w:customStyle="1" w:styleId="Body1">
    <w:name w:val="Body 1"/>
    <w:rsid w:val="00EB00CD"/>
    <w:pPr>
      <w:spacing w:after="200" w:line="276" w:lineRule="auto"/>
      <w:outlineLvl w:val="0"/>
    </w:pPr>
    <w:rPr>
      <w:rFonts w:eastAsia="Arial Unicode MS"/>
      <w:color w:val="000000"/>
      <w:sz w:val="24"/>
      <w:u w:color="000000"/>
    </w:rPr>
  </w:style>
  <w:style w:type="paragraph" w:customStyle="1" w:styleId="ImportWordListStyleDefinition30">
    <w:name w:val="Import Word List Style Definition 30"/>
    <w:rsid w:val="00EB00CD"/>
    <w:pPr>
      <w:numPr>
        <w:numId w:val="5"/>
      </w:numPr>
    </w:pPr>
    <w:rPr>
      <w:rFonts w:ascii="Times New Roman" w:eastAsia="Times New Roman" w:hAnsi="Times New Roman"/>
    </w:rPr>
  </w:style>
  <w:style w:type="paragraph" w:customStyle="1" w:styleId="ImportWordListStyleDefinition19">
    <w:name w:val="Import Word List Style Definition 19"/>
    <w:rsid w:val="00EB00CD"/>
    <w:pPr>
      <w:numPr>
        <w:numId w:val="6"/>
      </w:numPr>
    </w:pPr>
    <w:rPr>
      <w:rFonts w:ascii="Times New Roman" w:eastAsia="Times New Roman" w:hAnsi="Times New Roman"/>
    </w:rPr>
  </w:style>
  <w:style w:type="paragraph" w:customStyle="1" w:styleId="ImportWordListStyleDefinition1">
    <w:name w:val="Import Word List Style Definition 1"/>
    <w:rsid w:val="00EB00CD"/>
    <w:pPr>
      <w:numPr>
        <w:numId w:val="7"/>
      </w:numPr>
    </w:pPr>
    <w:rPr>
      <w:rFonts w:ascii="Times New Roman" w:eastAsia="Times New Roman" w:hAnsi="Times New Roman"/>
    </w:rPr>
  </w:style>
  <w:style w:type="paragraph" w:customStyle="1" w:styleId="List1">
    <w:name w:val="List 1"/>
    <w:basedOn w:val="ImportWordListStyleDefinition1"/>
    <w:semiHidden/>
    <w:rsid w:val="00EB00CD"/>
    <w:pPr>
      <w:numPr>
        <w:numId w:val="8"/>
      </w:numPr>
    </w:pPr>
  </w:style>
  <w:style w:type="paragraph" w:customStyle="1" w:styleId="ImportWordListStyleDefinition13">
    <w:name w:val="Import Word List Style Definition 13"/>
    <w:rsid w:val="00EB00CD"/>
    <w:pPr>
      <w:numPr>
        <w:numId w:val="9"/>
      </w:numPr>
    </w:pPr>
    <w:rPr>
      <w:rFonts w:ascii="Times New Roman" w:eastAsia="Times New Roman" w:hAnsi="Times New Roman"/>
    </w:rPr>
  </w:style>
  <w:style w:type="paragraph" w:customStyle="1" w:styleId="ImportWordListStyleDefinition25">
    <w:name w:val="Import Word List Style Definition 25"/>
    <w:rsid w:val="00EB00CD"/>
    <w:pPr>
      <w:numPr>
        <w:numId w:val="10"/>
      </w:numPr>
    </w:pPr>
    <w:rPr>
      <w:rFonts w:ascii="Times New Roman" w:eastAsia="Times New Roman" w:hAnsi="Times New Roman"/>
    </w:rPr>
  </w:style>
  <w:style w:type="paragraph" w:customStyle="1" w:styleId="ImportWordListStyleDefinition17">
    <w:name w:val="Import Word List Style Definition 17"/>
    <w:rsid w:val="00EB00CD"/>
    <w:pPr>
      <w:numPr>
        <w:numId w:val="11"/>
      </w:numPr>
    </w:pPr>
    <w:rPr>
      <w:rFonts w:ascii="Times New Roman" w:eastAsia="Times New Roman" w:hAnsi="Times New Roman"/>
    </w:rPr>
  </w:style>
  <w:style w:type="paragraph" w:customStyle="1" w:styleId="ImportWordListStyleDefinition5">
    <w:name w:val="Import Word List Style Definition 5"/>
    <w:rsid w:val="00EB00CD"/>
    <w:pPr>
      <w:numPr>
        <w:numId w:val="12"/>
      </w:numPr>
    </w:pPr>
    <w:rPr>
      <w:rFonts w:ascii="Times New Roman" w:eastAsia="Times New Roman" w:hAnsi="Times New Roman"/>
    </w:rPr>
  </w:style>
  <w:style w:type="paragraph" w:customStyle="1" w:styleId="body10">
    <w:name w:val="body1"/>
    <w:basedOn w:val="Normal"/>
    <w:rsid w:val="00EB00CD"/>
    <w:pPr>
      <w:autoSpaceDE/>
      <w:autoSpaceDN/>
      <w:adjustRightInd/>
      <w:spacing w:after="200" w:line="276" w:lineRule="auto"/>
      <w:jc w:val="left"/>
    </w:pPr>
    <w:rPr>
      <w:rFonts w:eastAsiaTheme="minorHAnsi" w:cs="Arial"/>
      <w:lang w:eastAsia="en-GB"/>
    </w:rPr>
  </w:style>
  <w:style w:type="paragraph" w:customStyle="1" w:styleId="Body">
    <w:name w:val="Body"/>
    <w:rsid w:val="00EB00CD"/>
    <w:pPr>
      <w:spacing w:after="200" w:line="276" w:lineRule="auto"/>
    </w:pPr>
    <w:rPr>
      <w:rFonts w:eastAsia="Arial Unicode MS" w:hAnsi="Arial Unicode MS" w:cs="Arial Unicode MS"/>
      <w:color w:val="000000"/>
      <w:sz w:val="24"/>
      <w:szCs w:val="24"/>
      <w:u w:color="000000"/>
      <w:lang w:val="fr-FR"/>
    </w:rPr>
  </w:style>
  <w:style w:type="table" w:customStyle="1" w:styleId="TableGrid1">
    <w:name w:val="Table Grid1"/>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uiPriority w:val="59"/>
    <w:rsid w:val="00EB00C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21">
    <w:name w:val="List 21"/>
    <w:basedOn w:val="ImportWordListStyleDefinition17"/>
    <w:semiHidden/>
    <w:rsid w:val="00EB00CD"/>
    <w:pPr>
      <w:numPr>
        <w:numId w:val="13"/>
      </w:numPr>
    </w:pPr>
  </w:style>
  <w:style w:type="paragraph" w:customStyle="1" w:styleId="List0">
    <w:name w:val="List 0"/>
    <w:basedOn w:val="ImportWordListStyleDefinition1"/>
    <w:semiHidden/>
    <w:rsid w:val="00EB00CD"/>
    <w:pPr>
      <w:numPr>
        <w:numId w:val="14"/>
      </w:numPr>
      <w:ind w:left="720" w:hanging="360"/>
    </w:pPr>
  </w:style>
  <w:style w:type="paragraph" w:styleId="BlockText">
    <w:name w:val="Block Text"/>
    <w:basedOn w:val="Normal"/>
    <w:semiHidden/>
    <w:unhideWhenUsed/>
    <w:rsid w:val="00B13675"/>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semiHidden/>
    <w:unhideWhenUsed/>
    <w:rsid w:val="00B13675"/>
    <w:rPr>
      <w:sz w:val="16"/>
      <w:szCs w:val="16"/>
    </w:rPr>
  </w:style>
  <w:style w:type="character" w:customStyle="1" w:styleId="BodyText3Char">
    <w:name w:val="Body Text 3 Char"/>
    <w:basedOn w:val="DefaultParagraphFont"/>
    <w:link w:val="BodyText3"/>
    <w:semiHidden/>
    <w:rsid w:val="00B13675"/>
    <w:rPr>
      <w:rFonts w:eastAsia="Calibri" w:cs="Helvetica-Light"/>
      <w:color w:val="000000"/>
      <w:sz w:val="16"/>
      <w:szCs w:val="16"/>
      <w:lang w:eastAsia="en-US"/>
    </w:rPr>
  </w:style>
  <w:style w:type="paragraph" w:styleId="BodyTextIndent2">
    <w:name w:val="Body Text Indent 2"/>
    <w:basedOn w:val="Normal"/>
    <w:link w:val="BodyTextIndent2Char"/>
    <w:semiHidden/>
    <w:unhideWhenUsed/>
    <w:rsid w:val="00B13675"/>
    <w:pPr>
      <w:spacing w:line="480" w:lineRule="auto"/>
      <w:ind w:left="283"/>
    </w:pPr>
  </w:style>
  <w:style w:type="character" w:customStyle="1" w:styleId="BodyTextIndent2Char">
    <w:name w:val="Body Text Indent 2 Char"/>
    <w:basedOn w:val="DefaultParagraphFont"/>
    <w:link w:val="BodyTextIndent2"/>
    <w:semiHidden/>
    <w:rsid w:val="00B13675"/>
    <w:rPr>
      <w:rFonts w:eastAsia="Calibri" w:cs="Helvetica-Light"/>
      <w:color w:val="000000"/>
      <w:sz w:val="24"/>
      <w:szCs w:val="24"/>
      <w:lang w:eastAsia="en-US"/>
    </w:rPr>
  </w:style>
  <w:style w:type="paragraph" w:styleId="BodyTextIndent3">
    <w:name w:val="Body Text Indent 3"/>
    <w:basedOn w:val="Normal"/>
    <w:link w:val="BodyTextIndent3Char"/>
    <w:semiHidden/>
    <w:unhideWhenUsed/>
    <w:rsid w:val="00B13675"/>
    <w:pPr>
      <w:ind w:left="283"/>
    </w:pPr>
    <w:rPr>
      <w:sz w:val="16"/>
      <w:szCs w:val="16"/>
    </w:rPr>
  </w:style>
  <w:style w:type="character" w:customStyle="1" w:styleId="BodyTextIndent3Char">
    <w:name w:val="Body Text Indent 3 Char"/>
    <w:basedOn w:val="DefaultParagraphFont"/>
    <w:link w:val="BodyTextIndent3"/>
    <w:semiHidden/>
    <w:rsid w:val="00B13675"/>
    <w:rPr>
      <w:rFonts w:eastAsia="Calibri" w:cs="Helvetica-Light"/>
      <w:color w:val="000000"/>
      <w:sz w:val="16"/>
      <w:szCs w:val="16"/>
      <w:lang w:eastAsia="en-US"/>
    </w:rPr>
  </w:style>
  <w:style w:type="paragraph" w:styleId="DocumentMap">
    <w:name w:val="Document Map"/>
    <w:basedOn w:val="Normal"/>
    <w:link w:val="DocumentMapChar"/>
    <w:semiHidden/>
    <w:unhideWhenUsed/>
    <w:rsid w:val="00B13675"/>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13675"/>
    <w:rPr>
      <w:rFonts w:ascii="Segoe UI" w:eastAsia="Calibri" w:hAnsi="Segoe UI" w:cs="Segoe UI"/>
      <w:color w:val="000000"/>
      <w:sz w:val="16"/>
      <w:szCs w:val="16"/>
      <w:lang w:eastAsia="en-US"/>
    </w:rPr>
  </w:style>
  <w:style w:type="paragraph" w:styleId="E-mailSignature">
    <w:name w:val="E-mail Signature"/>
    <w:basedOn w:val="Normal"/>
    <w:link w:val="E-mailSignatureChar"/>
    <w:uiPriority w:val="99"/>
    <w:semiHidden/>
    <w:unhideWhenUsed/>
    <w:rsid w:val="00B13675"/>
    <w:pPr>
      <w:spacing w:after="0"/>
    </w:pPr>
  </w:style>
  <w:style w:type="character" w:customStyle="1" w:styleId="E-mailSignatureChar">
    <w:name w:val="E-mail Signature Char"/>
    <w:basedOn w:val="DefaultParagraphFont"/>
    <w:link w:val="E-mailSignature"/>
    <w:uiPriority w:val="99"/>
    <w:semiHidden/>
    <w:rsid w:val="00B13675"/>
    <w:rPr>
      <w:rFonts w:eastAsia="Calibri" w:cs="Helvetica-Light"/>
      <w:color w:val="000000"/>
      <w:sz w:val="24"/>
      <w:szCs w:val="24"/>
      <w:lang w:eastAsia="en-US"/>
    </w:rPr>
  </w:style>
  <w:style w:type="paragraph" w:styleId="EnvelopeAddress">
    <w:name w:val="envelope address"/>
    <w:basedOn w:val="Normal"/>
    <w:uiPriority w:val="99"/>
    <w:semiHidden/>
    <w:unhideWhenUsed/>
    <w:rsid w:val="00B13675"/>
    <w:pPr>
      <w:framePr w:w="7920" w:h="1980" w:hRule="exact" w:hSpace="180" w:wrap="auto" w:hAnchor="page" w:xAlign="center" w:yAlign="bottom"/>
      <w:spacing w:after="0"/>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B13675"/>
    <w:pPr>
      <w:spacing w:after="0"/>
    </w:pPr>
    <w:rPr>
      <w:rFonts w:asciiTheme="majorHAnsi" w:eastAsiaTheme="majorEastAsia" w:hAnsiTheme="majorHAnsi" w:cstheme="majorBidi"/>
      <w:sz w:val="20"/>
      <w:szCs w:val="20"/>
    </w:rPr>
  </w:style>
  <w:style w:type="paragraph" w:styleId="HTMLAddress">
    <w:name w:val="HTML Address"/>
    <w:basedOn w:val="Normal"/>
    <w:link w:val="HTMLAddressChar"/>
    <w:uiPriority w:val="99"/>
    <w:semiHidden/>
    <w:unhideWhenUsed/>
    <w:rsid w:val="00B13675"/>
    <w:pPr>
      <w:spacing w:after="0"/>
    </w:pPr>
    <w:rPr>
      <w:i/>
      <w:iCs/>
    </w:rPr>
  </w:style>
  <w:style w:type="character" w:customStyle="1" w:styleId="HTMLAddressChar">
    <w:name w:val="HTML Address Char"/>
    <w:basedOn w:val="DefaultParagraphFont"/>
    <w:link w:val="HTMLAddress"/>
    <w:uiPriority w:val="99"/>
    <w:semiHidden/>
    <w:rsid w:val="00B13675"/>
    <w:rPr>
      <w:rFonts w:eastAsia="Calibri" w:cs="Helvetica-Light"/>
      <w:i/>
      <w:iCs/>
      <w:color w:val="000000"/>
      <w:sz w:val="24"/>
      <w:szCs w:val="24"/>
      <w:lang w:eastAsia="en-US"/>
    </w:rPr>
  </w:style>
  <w:style w:type="paragraph" w:styleId="Index1">
    <w:name w:val="index 1"/>
    <w:basedOn w:val="Normal"/>
    <w:next w:val="Normal"/>
    <w:autoRedefine/>
    <w:uiPriority w:val="99"/>
    <w:semiHidden/>
    <w:unhideWhenUsed/>
    <w:rsid w:val="00B13675"/>
    <w:pPr>
      <w:spacing w:after="0"/>
      <w:ind w:left="240" w:hanging="240"/>
    </w:pPr>
  </w:style>
  <w:style w:type="paragraph" w:styleId="Index2">
    <w:name w:val="index 2"/>
    <w:basedOn w:val="Normal"/>
    <w:next w:val="Normal"/>
    <w:autoRedefine/>
    <w:uiPriority w:val="99"/>
    <w:semiHidden/>
    <w:unhideWhenUsed/>
    <w:rsid w:val="00B13675"/>
    <w:pPr>
      <w:spacing w:after="0"/>
      <w:ind w:left="480" w:hanging="240"/>
    </w:pPr>
  </w:style>
  <w:style w:type="paragraph" w:styleId="Index3">
    <w:name w:val="index 3"/>
    <w:basedOn w:val="Normal"/>
    <w:next w:val="Normal"/>
    <w:autoRedefine/>
    <w:uiPriority w:val="99"/>
    <w:semiHidden/>
    <w:unhideWhenUsed/>
    <w:rsid w:val="00B13675"/>
    <w:pPr>
      <w:spacing w:after="0"/>
      <w:ind w:left="720" w:hanging="240"/>
    </w:pPr>
  </w:style>
  <w:style w:type="paragraph" w:styleId="Index4">
    <w:name w:val="index 4"/>
    <w:basedOn w:val="Normal"/>
    <w:next w:val="Normal"/>
    <w:autoRedefine/>
    <w:uiPriority w:val="99"/>
    <w:semiHidden/>
    <w:unhideWhenUsed/>
    <w:rsid w:val="00B13675"/>
    <w:pPr>
      <w:spacing w:after="0"/>
      <w:ind w:left="960" w:hanging="240"/>
    </w:pPr>
  </w:style>
  <w:style w:type="paragraph" w:styleId="Index5">
    <w:name w:val="index 5"/>
    <w:basedOn w:val="Normal"/>
    <w:next w:val="Normal"/>
    <w:autoRedefine/>
    <w:uiPriority w:val="99"/>
    <w:semiHidden/>
    <w:unhideWhenUsed/>
    <w:rsid w:val="00B13675"/>
    <w:pPr>
      <w:spacing w:after="0"/>
      <w:ind w:left="1200" w:hanging="240"/>
    </w:pPr>
  </w:style>
  <w:style w:type="paragraph" w:styleId="Index6">
    <w:name w:val="index 6"/>
    <w:basedOn w:val="Normal"/>
    <w:next w:val="Normal"/>
    <w:autoRedefine/>
    <w:uiPriority w:val="99"/>
    <w:semiHidden/>
    <w:unhideWhenUsed/>
    <w:rsid w:val="00B13675"/>
    <w:pPr>
      <w:spacing w:after="0"/>
      <w:ind w:left="1440" w:hanging="240"/>
    </w:pPr>
  </w:style>
  <w:style w:type="paragraph" w:styleId="IntenseQuote">
    <w:name w:val="Intense Quote"/>
    <w:basedOn w:val="Normal"/>
    <w:next w:val="Normal"/>
    <w:link w:val="IntenseQuoteChar"/>
    <w:uiPriority w:val="30"/>
    <w:qFormat/>
    <w:rsid w:val="00B13675"/>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13675"/>
    <w:rPr>
      <w:rFonts w:eastAsia="Calibri" w:cs="Helvetica-Light"/>
      <w:i/>
      <w:iCs/>
      <w:color w:val="4F81BD" w:themeColor="accent1"/>
      <w:sz w:val="24"/>
      <w:szCs w:val="24"/>
      <w:lang w:eastAsia="en-US"/>
    </w:rPr>
  </w:style>
  <w:style w:type="paragraph" w:styleId="List">
    <w:name w:val="List"/>
    <w:basedOn w:val="Normal"/>
    <w:uiPriority w:val="99"/>
    <w:semiHidden/>
    <w:unhideWhenUsed/>
    <w:rsid w:val="00B13675"/>
    <w:pPr>
      <w:ind w:left="283" w:hanging="283"/>
      <w:contextualSpacing/>
    </w:pPr>
  </w:style>
  <w:style w:type="paragraph" w:styleId="List2">
    <w:name w:val="List 2"/>
    <w:basedOn w:val="Normal"/>
    <w:uiPriority w:val="99"/>
    <w:semiHidden/>
    <w:unhideWhenUsed/>
    <w:rsid w:val="00B13675"/>
    <w:pPr>
      <w:ind w:left="566" w:hanging="283"/>
      <w:contextualSpacing/>
    </w:pPr>
  </w:style>
  <w:style w:type="paragraph" w:styleId="List3">
    <w:name w:val="List 3"/>
    <w:basedOn w:val="Normal"/>
    <w:uiPriority w:val="99"/>
    <w:semiHidden/>
    <w:unhideWhenUsed/>
    <w:rsid w:val="00B13675"/>
    <w:pPr>
      <w:ind w:left="849" w:hanging="283"/>
      <w:contextualSpacing/>
    </w:pPr>
  </w:style>
  <w:style w:type="paragraph" w:styleId="List4">
    <w:name w:val="List 4"/>
    <w:basedOn w:val="Normal"/>
    <w:uiPriority w:val="99"/>
    <w:semiHidden/>
    <w:unhideWhenUsed/>
    <w:rsid w:val="00B13675"/>
    <w:pPr>
      <w:ind w:left="1132" w:hanging="283"/>
      <w:contextualSpacing/>
    </w:pPr>
  </w:style>
  <w:style w:type="paragraph" w:styleId="List5">
    <w:name w:val="List 5"/>
    <w:basedOn w:val="Normal"/>
    <w:uiPriority w:val="99"/>
    <w:semiHidden/>
    <w:unhideWhenUsed/>
    <w:rsid w:val="00B13675"/>
    <w:pPr>
      <w:ind w:left="1415" w:hanging="283"/>
      <w:contextualSpacing/>
    </w:pPr>
  </w:style>
  <w:style w:type="paragraph" w:styleId="ListBullet">
    <w:name w:val="List Bullet"/>
    <w:basedOn w:val="Normal"/>
    <w:semiHidden/>
    <w:unhideWhenUsed/>
    <w:rsid w:val="00B13675"/>
    <w:pPr>
      <w:numPr>
        <w:numId w:val="15"/>
      </w:numPr>
      <w:contextualSpacing/>
    </w:pPr>
  </w:style>
  <w:style w:type="paragraph" w:styleId="ListBullet2">
    <w:name w:val="List Bullet 2"/>
    <w:basedOn w:val="Normal"/>
    <w:uiPriority w:val="99"/>
    <w:semiHidden/>
    <w:unhideWhenUsed/>
    <w:rsid w:val="00B13675"/>
    <w:pPr>
      <w:numPr>
        <w:numId w:val="16"/>
      </w:numPr>
      <w:contextualSpacing/>
    </w:pPr>
  </w:style>
  <w:style w:type="paragraph" w:styleId="ListBullet3">
    <w:name w:val="List Bullet 3"/>
    <w:basedOn w:val="Normal"/>
    <w:uiPriority w:val="99"/>
    <w:semiHidden/>
    <w:unhideWhenUsed/>
    <w:rsid w:val="00B13675"/>
    <w:pPr>
      <w:numPr>
        <w:numId w:val="17"/>
      </w:numPr>
      <w:contextualSpacing/>
    </w:pPr>
  </w:style>
  <w:style w:type="paragraph" w:styleId="ListBullet4">
    <w:name w:val="List Bullet 4"/>
    <w:basedOn w:val="Normal"/>
    <w:uiPriority w:val="99"/>
    <w:semiHidden/>
    <w:unhideWhenUsed/>
    <w:rsid w:val="00B13675"/>
    <w:pPr>
      <w:numPr>
        <w:numId w:val="18"/>
      </w:numPr>
      <w:contextualSpacing/>
    </w:pPr>
  </w:style>
  <w:style w:type="paragraph" w:styleId="ListBullet5">
    <w:name w:val="List Bullet 5"/>
    <w:basedOn w:val="Normal"/>
    <w:uiPriority w:val="99"/>
    <w:semiHidden/>
    <w:unhideWhenUsed/>
    <w:rsid w:val="00B13675"/>
    <w:pPr>
      <w:numPr>
        <w:numId w:val="19"/>
      </w:numPr>
      <w:contextualSpacing/>
    </w:pPr>
  </w:style>
  <w:style w:type="paragraph" w:styleId="ListContinue">
    <w:name w:val="List Continue"/>
    <w:basedOn w:val="Normal"/>
    <w:uiPriority w:val="99"/>
    <w:semiHidden/>
    <w:unhideWhenUsed/>
    <w:rsid w:val="00B13675"/>
    <w:pPr>
      <w:ind w:left="283"/>
      <w:contextualSpacing/>
    </w:pPr>
  </w:style>
  <w:style w:type="paragraph" w:styleId="ListContinue2">
    <w:name w:val="List Continue 2"/>
    <w:basedOn w:val="Normal"/>
    <w:uiPriority w:val="99"/>
    <w:semiHidden/>
    <w:unhideWhenUsed/>
    <w:rsid w:val="00B13675"/>
    <w:pPr>
      <w:ind w:left="566"/>
      <w:contextualSpacing/>
    </w:pPr>
  </w:style>
  <w:style w:type="paragraph" w:styleId="ListContinue3">
    <w:name w:val="List Continue 3"/>
    <w:basedOn w:val="Normal"/>
    <w:uiPriority w:val="99"/>
    <w:semiHidden/>
    <w:unhideWhenUsed/>
    <w:rsid w:val="00B13675"/>
    <w:pPr>
      <w:ind w:left="849"/>
      <w:contextualSpacing/>
    </w:pPr>
  </w:style>
  <w:style w:type="paragraph" w:styleId="ListContinue4">
    <w:name w:val="List Continue 4"/>
    <w:basedOn w:val="Normal"/>
    <w:uiPriority w:val="99"/>
    <w:semiHidden/>
    <w:unhideWhenUsed/>
    <w:rsid w:val="00B13675"/>
    <w:pPr>
      <w:ind w:left="1132"/>
      <w:contextualSpacing/>
    </w:pPr>
  </w:style>
  <w:style w:type="paragraph" w:styleId="ListContinue5">
    <w:name w:val="List Continue 5"/>
    <w:basedOn w:val="Normal"/>
    <w:uiPriority w:val="99"/>
    <w:semiHidden/>
    <w:unhideWhenUsed/>
    <w:rsid w:val="00B13675"/>
    <w:pPr>
      <w:ind w:left="1415"/>
      <w:contextualSpacing/>
    </w:pPr>
  </w:style>
  <w:style w:type="paragraph" w:styleId="ListNumber">
    <w:name w:val="List Number"/>
    <w:basedOn w:val="Normal"/>
    <w:uiPriority w:val="99"/>
    <w:semiHidden/>
    <w:unhideWhenUsed/>
    <w:rsid w:val="00B13675"/>
    <w:pPr>
      <w:numPr>
        <w:numId w:val="20"/>
      </w:numPr>
      <w:contextualSpacing/>
    </w:pPr>
  </w:style>
  <w:style w:type="paragraph" w:styleId="ListNumber2">
    <w:name w:val="List Number 2"/>
    <w:basedOn w:val="Normal"/>
    <w:uiPriority w:val="99"/>
    <w:semiHidden/>
    <w:unhideWhenUsed/>
    <w:rsid w:val="00B13675"/>
    <w:pPr>
      <w:numPr>
        <w:numId w:val="21"/>
      </w:numPr>
      <w:contextualSpacing/>
    </w:pPr>
  </w:style>
  <w:style w:type="paragraph" w:styleId="ListNumber3">
    <w:name w:val="List Number 3"/>
    <w:basedOn w:val="Normal"/>
    <w:uiPriority w:val="99"/>
    <w:semiHidden/>
    <w:unhideWhenUsed/>
    <w:rsid w:val="00B13675"/>
    <w:pPr>
      <w:numPr>
        <w:numId w:val="22"/>
      </w:numPr>
      <w:contextualSpacing/>
    </w:pPr>
  </w:style>
  <w:style w:type="paragraph" w:styleId="ListNumber4">
    <w:name w:val="List Number 4"/>
    <w:basedOn w:val="Normal"/>
    <w:uiPriority w:val="99"/>
    <w:semiHidden/>
    <w:unhideWhenUsed/>
    <w:rsid w:val="00B13675"/>
    <w:pPr>
      <w:numPr>
        <w:numId w:val="23"/>
      </w:numPr>
      <w:contextualSpacing/>
    </w:pPr>
  </w:style>
  <w:style w:type="paragraph" w:styleId="ListNumber5">
    <w:name w:val="List Number 5"/>
    <w:basedOn w:val="Normal"/>
    <w:uiPriority w:val="99"/>
    <w:semiHidden/>
    <w:unhideWhenUsed/>
    <w:rsid w:val="00B13675"/>
    <w:pPr>
      <w:numPr>
        <w:numId w:val="24"/>
      </w:numPr>
      <w:contextualSpacing/>
    </w:pPr>
  </w:style>
  <w:style w:type="paragraph" w:styleId="MacroText">
    <w:name w:val="macro"/>
    <w:link w:val="MacroTextChar"/>
    <w:uiPriority w:val="99"/>
    <w:semiHidden/>
    <w:unhideWhenUsed/>
    <w:rsid w:val="00B13675"/>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jc w:val="both"/>
    </w:pPr>
    <w:rPr>
      <w:rFonts w:ascii="Consolas" w:eastAsia="Calibri" w:hAnsi="Consolas" w:cs="Helvetica-Light"/>
      <w:color w:val="000000"/>
      <w:lang w:eastAsia="en-US"/>
    </w:rPr>
  </w:style>
  <w:style w:type="character" w:customStyle="1" w:styleId="MacroTextChar">
    <w:name w:val="Macro Text Char"/>
    <w:basedOn w:val="DefaultParagraphFont"/>
    <w:link w:val="MacroText"/>
    <w:uiPriority w:val="99"/>
    <w:semiHidden/>
    <w:rsid w:val="00B13675"/>
    <w:rPr>
      <w:rFonts w:ascii="Consolas" w:eastAsia="Calibri" w:hAnsi="Consolas" w:cs="Helvetica-Light"/>
      <w:color w:val="000000"/>
      <w:lang w:eastAsia="en-US"/>
    </w:rPr>
  </w:style>
  <w:style w:type="paragraph" w:styleId="MessageHeader">
    <w:name w:val="Message Header"/>
    <w:basedOn w:val="Normal"/>
    <w:link w:val="MessageHeaderChar"/>
    <w:uiPriority w:val="99"/>
    <w:semiHidden/>
    <w:unhideWhenUsed/>
    <w:rsid w:val="00B13675"/>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B13675"/>
    <w:rPr>
      <w:rFonts w:asciiTheme="majorHAnsi" w:eastAsiaTheme="majorEastAsia" w:hAnsiTheme="majorHAnsi" w:cstheme="majorBidi"/>
      <w:color w:val="000000"/>
      <w:sz w:val="24"/>
      <w:szCs w:val="24"/>
      <w:shd w:val="pct20" w:color="auto" w:fill="auto"/>
      <w:lang w:eastAsia="en-US"/>
    </w:rPr>
  </w:style>
  <w:style w:type="paragraph" w:styleId="NoteHeading">
    <w:name w:val="Note Heading"/>
    <w:basedOn w:val="Normal"/>
    <w:next w:val="Normal"/>
    <w:link w:val="NoteHeadingChar"/>
    <w:uiPriority w:val="99"/>
    <w:semiHidden/>
    <w:unhideWhenUsed/>
    <w:rsid w:val="00B13675"/>
    <w:pPr>
      <w:spacing w:after="0"/>
    </w:pPr>
  </w:style>
  <w:style w:type="character" w:customStyle="1" w:styleId="NoteHeadingChar">
    <w:name w:val="Note Heading Char"/>
    <w:basedOn w:val="DefaultParagraphFont"/>
    <w:link w:val="NoteHeading"/>
    <w:uiPriority w:val="99"/>
    <w:semiHidden/>
    <w:rsid w:val="00B13675"/>
    <w:rPr>
      <w:rFonts w:eastAsia="Calibri" w:cs="Helvetica-Light"/>
      <w:color w:val="000000"/>
      <w:sz w:val="24"/>
      <w:szCs w:val="24"/>
      <w:lang w:eastAsia="en-US"/>
    </w:rPr>
  </w:style>
  <w:style w:type="paragraph" w:styleId="PlainText">
    <w:name w:val="Plain Text"/>
    <w:basedOn w:val="Normal"/>
    <w:link w:val="PlainTextChar"/>
    <w:uiPriority w:val="2"/>
    <w:semiHidden/>
    <w:unhideWhenUsed/>
    <w:rsid w:val="00B13675"/>
    <w:pPr>
      <w:spacing w:after="0"/>
    </w:pPr>
    <w:rPr>
      <w:rFonts w:ascii="Consolas" w:hAnsi="Consolas"/>
      <w:sz w:val="21"/>
      <w:szCs w:val="21"/>
    </w:rPr>
  </w:style>
  <w:style w:type="character" w:customStyle="1" w:styleId="PlainTextChar">
    <w:name w:val="Plain Text Char"/>
    <w:basedOn w:val="DefaultParagraphFont"/>
    <w:link w:val="PlainText"/>
    <w:uiPriority w:val="2"/>
    <w:semiHidden/>
    <w:rsid w:val="00B13675"/>
    <w:rPr>
      <w:rFonts w:ascii="Consolas" w:eastAsia="Calibri" w:hAnsi="Consolas" w:cs="Helvetica-Light"/>
      <w:color w:val="000000"/>
      <w:sz w:val="21"/>
      <w:szCs w:val="21"/>
      <w:lang w:eastAsia="en-US"/>
    </w:rPr>
  </w:style>
  <w:style w:type="paragraph" w:styleId="Salutation">
    <w:name w:val="Salutation"/>
    <w:basedOn w:val="Normal"/>
    <w:next w:val="Normal"/>
    <w:link w:val="SalutationChar"/>
    <w:uiPriority w:val="99"/>
    <w:semiHidden/>
    <w:unhideWhenUsed/>
    <w:rsid w:val="00B13675"/>
  </w:style>
  <w:style w:type="character" w:customStyle="1" w:styleId="SalutationChar">
    <w:name w:val="Salutation Char"/>
    <w:basedOn w:val="DefaultParagraphFont"/>
    <w:link w:val="Salutation"/>
    <w:uiPriority w:val="99"/>
    <w:semiHidden/>
    <w:rsid w:val="00B13675"/>
    <w:rPr>
      <w:rFonts w:eastAsia="Calibri" w:cs="Helvetica-Light"/>
      <w:color w:val="000000"/>
      <w:sz w:val="24"/>
      <w:szCs w:val="24"/>
      <w:lang w:eastAsia="en-US"/>
    </w:rPr>
  </w:style>
  <w:style w:type="paragraph" w:styleId="Signature">
    <w:name w:val="Signature"/>
    <w:basedOn w:val="Normal"/>
    <w:link w:val="SignatureChar"/>
    <w:uiPriority w:val="99"/>
    <w:semiHidden/>
    <w:unhideWhenUsed/>
    <w:rsid w:val="00B13675"/>
    <w:pPr>
      <w:spacing w:after="0"/>
      <w:ind w:left="4252"/>
    </w:pPr>
  </w:style>
  <w:style w:type="character" w:customStyle="1" w:styleId="SignatureChar">
    <w:name w:val="Signature Char"/>
    <w:basedOn w:val="DefaultParagraphFont"/>
    <w:link w:val="Signature"/>
    <w:uiPriority w:val="99"/>
    <w:semiHidden/>
    <w:rsid w:val="00B13675"/>
    <w:rPr>
      <w:rFonts w:eastAsia="Calibri" w:cs="Helvetica-Light"/>
      <w:color w:val="000000"/>
      <w:sz w:val="24"/>
      <w:szCs w:val="24"/>
      <w:lang w:eastAsia="en-US"/>
    </w:rPr>
  </w:style>
  <w:style w:type="paragraph" w:styleId="Subtitle">
    <w:name w:val="Subtitle"/>
    <w:basedOn w:val="Normal"/>
    <w:next w:val="Normal"/>
    <w:link w:val="SubtitleChar"/>
    <w:uiPriority w:val="11"/>
    <w:qFormat/>
    <w:rsid w:val="00B1367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13675"/>
    <w:rPr>
      <w:rFonts w:asciiTheme="minorHAnsi" w:eastAsiaTheme="minorEastAsia" w:hAnsiTheme="minorHAnsi" w:cstheme="minorBidi"/>
      <w:color w:val="5A5A5A" w:themeColor="text1" w:themeTint="A5"/>
      <w:spacing w:val="15"/>
      <w:sz w:val="22"/>
      <w:szCs w:val="22"/>
      <w:lang w:eastAsia="en-US"/>
    </w:rPr>
  </w:style>
  <w:style w:type="paragraph" w:customStyle="1" w:styleId="footnotedescription">
    <w:name w:val="footnote description"/>
    <w:next w:val="Normal"/>
    <w:link w:val="footnotedescriptionChar"/>
    <w:hidden/>
    <w:rsid w:val="003D58F1"/>
    <w:pPr>
      <w:spacing w:after="66" w:line="259" w:lineRule="auto"/>
      <w:ind w:left="682"/>
    </w:pPr>
    <w:rPr>
      <w:rFonts w:ascii="Calibri" w:eastAsia="Calibri" w:hAnsi="Calibri" w:cs="Calibri"/>
      <w:color w:val="000000"/>
      <w:sz w:val="14"/>
      <w:szCs w:val="22"/>
    </w:rPr>
  </w:style>
  <w:style w:type="character" w:customStyle="1" w:styleId="footnotedescriptionChar">
    <w:name w:val="footnote description Char"/>
    <w:link w:val="footnotedescription"/>
    <w:rsid w:val="003D58F1"/>
    <w:rPr>
      <w:rFonts w:ascii="Calibri" w:eastAsia="Calibri" w:hAnsi="Calibri" w:cs="Calibri"/>
      <w:color w:val="000000"/>
      <w:sz w:val="14"/>
      <w:szCs w:val="22"/>
    </w:rPr>
  </w:style>
  <w:style w:type="character" w:customStyle="1" w:styleId="footnotemark">
    <w:name w:val="footnote mark"/>
    <w:hidden/>
    <w:rsid w:val="003D58F1"/>
    <w:rPr>
      <w:rFonts w:ascii="Calibri" w:eastAsia="Calibri" w:hAnsi="Calibri" w:cs="Calibri"/>
      <w:color w:val="000000"/>
      <w:sz w:val="14"/>
      <w:vertAlign w:val="superscript"/>
    </w:rPr>
  </w:style>
  <w:style w:type="table" w:customStyle="1" w:styleId="TableGrid8">
    <w:name w:val="Table Grid8"/>
    <w:basedOn w:val="TableNormal"/>
    <w:next w:val="TableGrid"/>
    <w:uiPriority w:val="39"/>
    <w:rsid w:val="006B42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611312">
      <w:bodyDiv w:val="1"/>
      <w:marLeft w:val="0"/>
      <w:marRight w:val="0"/>
      <w:marTop w:val="0"/>
      <w:marBottom w:val="0"/>
      <w:divBdr>
        <w:top w:val="none" w:sz="0" w:space="0" w:color="auto"/>
        <w:left w:val="none" w:sz="0" w:space="0" w:color="auto"/>
        <w:bottom w:val="none" w:sz="0" w:space="0" w:color="auto"/>
        <w:right w:val="none" w:sz="0" w:space="0" w:color="auto"/>
      </w:divBdr>
    </w:div>
    <w:div w:id="195625006">
      <w:bodyDiv w:val="1"/>
      <w:marLeft w:val="0"/>
      <w:marRight w:val="0"/>
      <w:marTop w:val="0"/>
      <w:marBottom w:val="0"/>
      <w:divBdr>
        <w:top w:val="none" w:sz="0" w:space="0" w:color="auto"/>
        <w:left w:val="none" w:sz="0" w:space="0" w:color="auto"/>
        <w:bottom w:val="none" w:sz="0" w:space="0" w:color="auto"/>
        <w:right w:val="none" w:sz="0" w:space="0" w:color="auto"/>
      </w:divBdr>
    </w:div>
    <w:div w:id="323360412">
      <w:bodyDiv w:val="1"/>
      <w:marLeft w:val="0"/>
      <w:marRight w:val="0"/>
      <w:marTop w:val="0"/>
      <w:marBottom w:val="0"/>
      <w:divBdr>
        <w:top w:val="none" w:sz="0" w:space="0" w:color="auto"/>
        <w:left w:val="none" w:sz="0" w:space="0" w:color="auto"/>
        <w:bottom w:val="none" w:sz="0" w:space="0" w:color="auto"/>
        <w:right w:val="none" w:sz="0" w:space="0" w:color="auto"/>
      </w:divBdr>
    </w:div>
    <w:div w:id="446314983">
      <w:bodyDiv w:val="1"/>
      <w:marLeft w:val="0"/>
      <w:marRight w:val="0"/>
      <w:marTop w:val="0"/>
      <w:marBottom w:val="0"/>
      <w:divBdr>
        <w:top w:val="none" w:sz="0" w:space="0" w:color="auto"/>
        <w:left w:val="none" w:sz="0" w:space="0" w:color="auto"/>
        <w:bottom w:val="none" w:sz="0" w:space="0" w:color="auto"/>
        <w:right w:val="none" w:sz="0" w:space="0" w:color="auto"/>
      </w:divBdr>
    </w:div>
    <w:div w:id="489055915">
      <w:bodyDiv w:val="1"/>
      <w:marLeft w:val="0"/>
      <w:marRight w:val="0"/>
      <w:marTop w:val="0"/>
      <w:marBottom w:val="0"/>
      <w:divBdr>
        <w:top w:val="none" w:sz="0" w:space="0" w:color="auto"/>
        <w:left w:val="none" w:sz="0" w:space="0" w:color="auto"/>
        <w:bottom w:val="none" w:sz="0" w:space="0" w:color="auto"/>
        <w:right w:val="none" w:sz="0" w:space="0" w:color="auto"/>
      </w:divBdr>
    </w:div>
    <w:div w:id="614599431">
      <w:bodyDiv w:val="1"/>
      <w:marLeft w:val="0"/>
      <w:marRight w:val="0"/>
      <w:marTop w:val="0"/>
      <w:marBottom w:val="0"/>
      <w:divBdr>
        <w:top w:val="none" w:sz="0" w:space="0" w:color="auto"/>
        <w:left w:val="none" w:sz="0" w:space="0" w:color="auto"/>
        <w:bottom w:val="none" w:sz="0" w:space="0" w:color="auto"/>
        <w:right w:val="none" w:sz="0" w:space="0" w:color="auto"/>
      </w:divBdr>
    </w:div>
    <w:div w:id="747386411">
      <w:bodyDiv w:val="1"/>
      <w:marLeft w:val="0"/>
      <w:marRight w:val="0"/>
      <w:marTop w:val="0"/>
      <w:marBottom w:val="0"/>
      <w:divBdr>
        <w:top w:val="none" w:sz="0" w:space="0" w:color="auto"/>
        <w:left w:val="none" w:sz="0" w:space="0" w:color="auto"/>
        <w:bottom w:val="none" w:sz="0" w:space="0" w:color="auto"/>
        <w:right w:val="none" w:sz="0" w:space="0" w:color="auto"/>
      </w:divBdr>
    </w:div>
    <w:div w:id="787360127">
      <w:bodyDiv w:val="1"/>
      <w:marLeft w:val="0"/>
      <w:marRight w:val="0"/>
      <w:marTop w:val="0"/>
      <w:marBottom w:val="0"/>
      <w:divBdr>
        <w:top w:val="none" w:sz="0" w:space="0" w:color="auto"/>
        <w:left w:val="none" w:sz="0" w:space="0" w:color="auto"/>
        <w:bottom w:val="none" w:sz="0" w:space="0" w:color="auto"/>
        <w:right w:val="none" w:sz="0" w:space="0" w:color="auto"/>
      </w:divBdr>
    </w:div>
    <w:div w:id="793868416">
      <w:bodyDiv w:val="1"/>
      <w:marLeft w:val="0"/>
      <w:marRight w:val="0"/>
      <w:marTop w:val="0"/>
      <w:marBottom w:val="0"/>
      <w:divBdr>
        <w:top w:val="none" w:sz="0" w:space="0" w:color="auto"/>
        <w:left w:val="none" w:sz="0" w:space="0" w:color="auto"/>
        <w:bottom w:val="none" w:sz="0" w:space="0" w:color="auto"/>
        <w:right w:val="none" w:sz="0" w:space="0" w:color="auto"/>
      </w:divBdr>
    </w:div>
    <w:div w:id="872613931">
      <w:bodyDiv w:val="1"/>
      <w:marLeft w:val="0"/>
      <w:marRight w:val="0"/>
      <w:marTop w:val="0"/>
      <w:marBottom w:val="0"/>
      <w:divBdr>
        <w:top w:val="none" w:sz="0" w:space="0" w:color="auto"/>
        <w:left w:val="none" w:sz="0" w:space="0" w:color="auto"/>
        <w:bottom w:val="none" w:sz="0" w:space="0" w:color="auto"/>
        <w:right w:val="none" w:sz="0" w:space="0" w:color="auto"/>
      </w:divBdr>
    </w:div>
    <w:div w:id="905917550">
      <w:bodyDiv w:val="1"/>
      <w:marLeft w:val="0"/>
      <w:marRight w:val="0"/>
      <w:marTop w:val="0"/>
      <w:marBottom w:val="0"/>
      <w:divBdr>
        <w:top w:val="none" w:sz="0" w:space="0" w:color="auto"/>
        <w:left w:val="none" w:sz="0" w:space="0" w:color="auto"/>
        <w:bottom w:val="none" w:sz="0" w:space="0" w:color="auto"/>
        <w:right w:val="none" w:sz="0" w:space="0" w:color="auto"/>
      </w:divBdr>
    </w:div>
    <w:div w:id="951858579">
      <w:bodyDiv w:val="1"/>
      <w:marLeft w:val="0"/>
      <w:marRight w:val="0"/>
      <w:marTop w:val="0"/>
      <w:marBottom w:val="0"/>
      <w:divBdr>
        <w:top w:val="none" w:sz="0" w:space="0" w:color="auto"/>
        <w:left w:val="none" w:sz="0" w:space="0" w:color="auto"/>
        <w:bottom w:val="none" w:sz="0" w:space="0" w:color="auto"/>
        <w:right w:val="none" w:sz="0" w:space="0" w:color="auto"/>
      </w:divBdr>
    </w:div>
    <w:div w:id="955453656">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087993297">
      <w:bodyDiv w:val="1"/>
      <w:marLeft w:val="0"/>
      <w:marRight w:val="0"/>
      <w:marTop w:val="0"/>
      <w:marBottom w:val="0"/>
      <w:divBdr>
        <w:top w:val="none" w:sz="0" w:space="0" w:color="auto"/>
        <w:left w:val="none" w:sz="0" w:space="0" w:color="auto"/>
        <w:bottom w:val="none" w:sz="0" w:space="0" w:color="auto"/>
        <w:right w:val="none" w:sz="0" w:space="0" w:color="auto"/>
      </w:divBdr>
    </w:div>
    <w:div w:id="1122189321">
      <w:bodyDiv w:val="1"/>
      <w:marLeft w:val="0"/>
      <w:marRight w:val="0"/>
      <w:marTop w:val="0"/>
      <w:marBottom w:val="0"/>
      <w:divBdr>
        <w:top w:val="none" w:sz="0" w:space="0" w:color="auto"/>
        <w:left w:val="none" w:sz="0" w:space="0" w:color="auto"/>
        <w:bottom w:val="none" w:sz="0" w:space="0" w:color="auto"/>
        <w:right w:val="none" w:sz="0" w:space="0" w:color="auto"/>
      </w:divBdr>
    </w:div>
    <w:div w:id="1240335734">
      <w:bodyDiv w:val="1"/>
      <w:marLeft w:val="0"/>
      <w:marRight w:val="0"/>
      <w:marTop w:val="0"/>
      <w:marBottom w:val="0"/>
      <w:divBdr>
        <w:top w:val="none" w:sz="0" w:space="0" w:color="auto"/>
        <w:left w:val="none" w:sz="0" w:space="0" w:color="auto"/>
        <w:bottom w:val="none" w:sz="0" w:space="0" w:color="auto"/>
        <w:right w:val="none" w:sz="0" w:space="0" w:color="auto"/>
      </w:divBdr>
    </w:div>
    <w:div w:id="1297881480">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551846376">
      <w:bodyDiv w:val="1"/>
      <w:marLeft w:val="0"/>
      <w:marRight w:val="0"/>
      <w:marTop w:val="0"/>
      <w:marBottom w:val="0"/>
      <w:divBdr>
        <w:top w:val="none" w:sz="0" w:space="0" w:color="auto"/>
        <w:left w:val="none" w:sz="0" w:space="0" w:color="auto"/>
        <w:bottom w:val="none" w:sz="0" w:space="0" w:color="auto"/>
        <w:right w:val="none" w:sz="0" w:space="0" w:color="auto"/>
      </w:divBdr>
    </w:div>
    <w:div w:id="1575361493">
      <w:bodyDiv w:val="1"/>
      <w:marLeft w:val="0"/>
      <w:marRight w:val="0"/>
      <w:marTop w:val="0"/>
      <w:marBottom w:val="0"/>
      <w:divBdr>
        <w:top w:val="none" w:sz="0" w:space="0" w:color="auto"/>
        <w:left w:val="none" w:sz="0" w:space="0" w:color="auto"/>
        <w:bottom w:val="none" w:sz="0" w:space="0" w:color="auto"/>
        <w:right w:val="none" w:sz="0" w:space="0" w:color="auto"/>
      </w:divBdr>
    </w:div>
    <w:div w:id="1579628393">
      <w:bodyDiv w:val="1"/>
      <w:marLeft w:val="0"/>
      <w:marRight w:val="0"/>
      <w:marTop w:val="0"/>
      <w:marBottom w:val="0"/>
      <w:divBdr>
        <w:top w:val="none" w:sz="0" w:space="0" w:color="auto"/>
        <w:left w:val="none" w:sz="0" w:space="0" w:color="auto"/>
        <w:bottom w:val="none" w:sz="0" w:space="0" w:color="auto"/>
        <w:right w:val="none" w:sz="0" w:space="0" w:color="auto"/>
      </w:divBdr>
    </w:div>
    <w:div w:id="1800806115">
      <w:bodyDiv w:val="1"/>
      <w:marLeft w:val="0"/>
      <w:marRight w:val="0"/>
      <w:marTop w:val="0"/>
      <w:marBottom w:val="0"/>
      <w:divBdr>
        <w:top w:val="none" w:sz="0" w:space="0" w:color="auto"/>
        <w:left w:val="none" w:sz="0" w:space="0" w:color="auto"/>
        <w:bottom w:val="none" w:sz="0" w:space="0" w:color="auto"/>
        <w:right w:val="none" w:sz="0" w:space="0" w:color="auto"/>
      </w:divBdr>
    </w:div>
    <w:div w:id="2017150323">
      <w:bodyDiv w:val="1"/>
      <w:marLeft w:val="0"/>
      <w:marRight w:val="0"/>
      <w:marTop w:val="0"/>
      <w:marBottom w:val="0"/>
      <w:divBdr>
        <w:top w:val="none" w:sz="0" w:space="0" w:color="auto"/>
        <w:left w:val="none" w:sz="0" w:space="0" w:color="auto"/>
        <w:bottom w:val="none" w:sz="0" w:space="0" w:color="auto"/>
        <w:right w:val="none" w:sz="0" w:space="0" w:color="auto"/>
      </w:divBdr>
    </w:div>
    <w:div w:id="2026247918">
      <w:bodyDiv w:val="1"/>
      <w:marLeft w:val="0"/>
      <w:marRight w:val="0"/>
      <w:marTop w:val="0"/>
      <w:marBottom w:val="0"/>
      <w:divBdr>
        <w:top w:val="none" w:sz="0" w:space="0" w:color="auto"/>
        <w:left w:val="none" w:sz="0" w:space="0" w:color="auto"/>
        <w:bottom w:val="none" w:sz="0" w:space="0" w:color="auto"/>
        <w:right w:val="none" w:sz="0" w:space="0" w:color="auto"/>
      </w:divBdr>
    </w:div>
    <w:div w:id="2026517122">
      <w:bodyDiv w:val="1"/>
      <w:marLeft w:val="0"/>
      <w:marRight w:val="0"/>
      <w:marTop w:val="0"/>
      <w:marBottom w:val="0"/>
      <w:divBdr>
        <w:top w:val="none" w:sz="0" w:space="0" w:color="auto"/>
        <w:left w:val="none" w:sz="0" w:space="0" w:color="auto"/>
        <w:bottom w:val="none" w:sz="0" w:space="0" w:color="auto"/>
        <w:right w:val="none" w:sz="0" w:space="0" w:color="auto"/>
      </w:divBdr>
    </w:div>
    <w:div w:id="2041468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tboswell001\Local%20Settings\Temporary%20Internet%20Files\Content.IE5\7BRXSR7D\Full%20Report%20Template%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9FA43D-5304-4FE8-9DC7-E425B9EB25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Template[1].dot</Template>
  <TotalTime>0</TotalTime>
  <Pages>23</Pages>
  <Words>3780</Words>
  <Characters>21548</Characters>
  <Application>Microsoft Office Word</Application>
  <DocSecurity>4</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25278</CharactersWithSpaces>
  <SharedDoc>false</SharedDoc>
  <HLinks>
    <vt:vector size="6" baseType="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tboswell001</dc:creator>
  <cp:lastModifiedBy>Mather, Chris</cp:lastModifiedBy>
  <cp:revision>2</cp:revision>
  <cp:lastPrinted>2015-11-12T16:47:00Z</cp:lastPrinted>
  <dcterms:created xsi:type="dcterms:W3CDTF">2015-11-16T08:32:00Z</dcterms:created>
  <dcterms:modified xsi:type="dcterms:W3CDTF">2015-11-16T08:32:00Z</dcterms:modified>
</cp:coreProperties>
</file>